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3037823</wp:posOffset>
            </wp:positionH>
            <wp:positionV relativeFrom="paragraph">
              <wp:posOffset>-4428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4E552A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proofErr w:type="gramStart"/>
      <w:r w:rsidR="00A245A5" w:rsidRPr="00A245A5">
        <w:rPr>
          <w:rFonts w:ascii="Times New Roman" w:hAnsi="Times New Roman" w:cs="Times New Roman"/>
          <w:bCs/>
          <w:iCs/>
          <w:kern w:val="36"/>
          <w:sz w:val="28"/>
          <w:szCs w:val="28"/>
          <w:u w:val="single"/>
        </w:rPr>
        <w:t>30.01.2019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</w:t>
      </w:r>
      <w:proofErr w:type="gramEnd"/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="00A245A5" w:rsidRPr="00A245A5">
        <w:rPr>
          <w:rFonts w:ascii="Times New Roman" w:hAnsi="Times New Roman" w:cs="Times New Roman"/>
          <w:bCs/>
          <w:iCs/>
          <w:kern w:val="36"/>
          <w:sz w:val="28"/>
          <w:szCs w:val="28"/>
          <w:u w:val="single"/>
        </w:rPr>
        <w:t>154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4276AA" w:rsidRPr="007748B7">
        <w:rPr>
          <w:b w:val="0"/>
          <w:szCs w:val="28"/>
        </w:rPr>
        <w:t xml:space="preserve"> в долгосрочную муниципальную целевую программу «Доступная среда» на 2016-2020 годы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5A37A2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Default="004276AA" w:rsidP="00824193">
      <w:pPr>
        <w:pStyle w:val="a6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0" w:hanging="20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</w:t>
      </w:r>
      <w:r w:rsidR="00936789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(в редакции постановлений от 26.06.2017 №1277, 23.03.2018 №362, 29.05.2018 №714)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 изменения: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778"/>
        <w:gridCol w:w="6861"/>
      </w:tblGrid>
      <w:tr w:rsidR="005A37A2" w:rsidRPr="007748B7" w:rsidTr="00824193">
        <w:tc>
          <w:tcPr>
            <w:tcW w:w="2778" w:type="dxa"/>
          </w:tcPr>
          <w:p w:rsidR="005A37A2" w:rsidRPr="007748B7" w:rsidRDefault="005A37A2" w:rsidP="00824193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1" w:type="dxa"/>
          </w:tcPr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5974,102</w:t>
            </w:r>
            <w:r w:rsidR="00E01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3166,6613</w:t>
            </w:r>
            <w:r w:rsidR="00E010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A2" w:rsidRPr="007748B7" w:rsidRDefault="005A37A2" w:rsidP="00824193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1315,68963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A37A2" w:rsidRPr="007748B7" w:rsidRDefault="005A37A2" w:rsidP="00DE2F1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муниципального бюджета – </w:t>
            </w:r>
            <w:r w:rsidR="00DE2F1A">
              <w:rPr>
                <w:rFonts w:ascii="Times New Roman" w:hAnsi="Times New Roman" w:cs="Times New Roman"/>
                <w:sz w:val="28"/>
                <w:szCs w:val="28"/>
              </w:rPr>
              <w:t>1491,7516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17BA4" w:rsidRPr="00917BA4" w:rsidRDefault="005A37A2" w:rsidP="00917BA4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 xml:space="preserve"> Раздел 2 Программы дополнить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917BA4" w:rsidRPr="00917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BA4" w:rsidRP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lastRenderedPageBreak/>
        <w:t>«2.</w:t>
      </w:r>
      <w:r w:rsidR="008241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7BA4">
        <w:rPr>
          <w:rFonts w:ascii="Times New Roman" w:eastAsia="Times New Roman" w:hAnsi="Times New Roman" w:cs="Times New Roman"/>
          <w:sz w:val="28"/>
          <w:szCs w:val="28"/>
        </w:rPr>
        <w:t>. Показатели результативности использования субсидии в 2019 году на создание в образовательных организациях условий для получения детьми-инвалидами качественного образования:</w:t>
      </w:r>
    </w:p>
    <w:p w:rsidR="00917BA4" w:rsidRP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t>- Доля детей-инвалидов в возрасте от 5 до 18 лет, получающих дополнительное образование, от общей численности детей-инвалидов данного возраста – 45%;</w:t>
      </w:r>
    </w:p>
    <w:p w:rsidR="00917BA4" w:rsidRDefault="00917BA4" w:rsidP="0059183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7BA4">
        <w:rPr>
          <w:rFonts w:ascii="Times New Roman" w:eastAsia="Times New Roman" w:hAnsi="Times New Roman" w:cs="Times New Roman"/>
          <w:sz w:val="28"/>
          <w:szCs w:val="28"/>
        </w:rPr>
        <w:t>- Доля детей-инвалидов в возрасте от 1,5 до 7 лет, охваченных дошкольным образованием, от общей численности детей-инвалидов данного возраста – 95%».</w:t>
      </w:r>
    </w:p>
    <w:p w:rsidR="005A37A2" w:rsidRPr="007748B7" w:rsidRDefault="00917BA4" w:rsidP="005A37A2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A37A2" w:rsidRPr="007748B7">
        <w:rPr>
          <w:rFonts w:ascii="Times New Roman" w:eastAsia="Times New Roman" w:hAnsi="Times New Roman" w:cs="Times New Roman"/>
          <w:sz w:val="28"/>
          <w:szCs w:val="28"/>
        </w:rPr>
        <w:t>Раздел 4 Программы изложить в следующей редакции:</w:t>
      </w:r>
    </w:p>
    <w:p w:rsidR="002821F7" w:rsidRDefault="00E83240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21F7" w:rsidRPr="0081235C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2821F7" w:rsidRDefault="002821F7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Программы реализуются за счет средств федерального, областного и муниципального бюджетов.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E2F1A">
        <w:rPr>
          <w:rFonts w:ascii="Times New Roman" w:hAnsi="Times New Roman" w:cs="Times New Roman"/>
          <w:sz w:val="28"/>
          <w:szCs w:val="28"/>
        </w:rPr>
        <w:t>5974,102</w:t>
      </w:r>
      <w:r w:rsidR="00340AFC">
        <w:rPr>
          <w:rFonts w:ascii="Times New Roman" w:hAnsi="Times New Roman" w:cs="Times New Roman"/>
          <w:sz w:val="28"/>
          <w:szCs w:val="28"/>
        </w:rPr>
        <w:t>6</w:t>
      </w:r>
      <w:r w:rsidRPr="00774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– 273,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273,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1860,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561тыс.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1262,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790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296, 210тыс.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301,561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1447,43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997,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26621 тыс. рублей;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149,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sz w:val="28"/>
          <w:szCs w:val="28"/>
        </w:rPr>
        <w:t>01679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301,14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A37A2" w:rsidRDefault="005A37A2" w:rsidP="00E8324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2019 год -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>1343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4641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DE2F1A" w:rsidRPr="007748B7" w:rsidRDefault="00DE2F1A" w:rsidP="00E8324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2F1A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906,6051</w:t>
      </w:r>
      <w:r w:rsidR="004641F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DE2F1A">
        <w:rPr>
          <w:rFonts w:ascii="Times New Roman" w:hAnsi="Times New Roman" w:cs="Times New Roman"/>
          <w:sz w:val="28"/>
          <w:szCs w:val="28"/>
        </w:rPr>
        <w:t>135,46284</w:t>
      </w:r>
      <w:r w:rsidRPr="007748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DE2F1A">
        <w:rPr>
          <w:rFonts w:ascii="Times New Roman" w:eastAsia="Times New Roman" w:hAnsi="Times New Roman" w:cs="Times New Roman"/>
          <w:sz w:val="28"/>
          <w:szCs w:val="28"/>
        </w:rPr>
        <w:t xml:space="preserve">301,0431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1050,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 тыс. рублей, в том числе:</w:t>
      </w:r>
    </w:p>
    <w:p w:rsidR="005A37A2" w:rsidRPr="007748B7" w:rsidRDefault="005A37A2" w:rsidP="005A37A2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735,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A37A2" w:rsidRPr="007748B7" w:rsidRDefault="005A37A2" w:rsidP="005A3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315,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E8324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37A2" w:rsidRPr="005A37A2" w:rsidRDefault="005A37A2" w:rsidP="005A37A2">
      <w:p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824193" w:rsidRDefault="00824193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Приложение к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рограмме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«Перечень программных мероприятий»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изложить в редакции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согласно приложению.</w:t>
      </w:r>
    </w:p>
    <w:p w:rsidR="00824193" w:rsidRPr="00824193" w:rsidRDefault="00303EA9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2419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824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81235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на официальном интернет-сайте Администрации муниципального образования «Смоленский район» Смоленской области</w:t>
      </w:r>
      <w:r w:rsidR="008241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59E0" w:rsidRPr="00824193" w:rsidRDefault="000959E0" w:rsidP="00824193">
      <w:pPr>
        <w:pStyle w:val="a6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24193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B34BA" w:rsidRPr="00824193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245C8C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C2A09" w:rsidRPr="007748B7" w:rsidRDefault="00AC2A09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D3CE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      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D621BA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2A09" w:rsidRPr="00AC2A09" w:rsidRDefault="00AC2A09" w:rsidP="00AC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5A5" w:rsidRDefault="00A245A5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4193" w:rsidRDefault="00824193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824193" w:rsidSect="00D616C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4193" w:rsidTr="00824193">
        <w:tc>
          <w:tcPr>
            <w:tcW w:w="6804" w:type="dxa"/>
          </w:tcPr>
          <w:p w:rsidR="0081235C" w:rsidRPr="006D4E13" w:rsidRDefault="00824193" w:rsidP="008123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 w:rsidR="0081235C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824193" w:rsidRPr="006D4E1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</w:p>
          <w:p w:rsidR="00824193" w:rsidRDefault="00824193" w:rsidP="008241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824193" w:rsidRPr="007748B7" w:rsidRDefault="00824193" w:rsidP="00824193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bookmarkStart w:id="0" w:name="_GoBack"/>
            <w:r w:rsidR="00A245A5" w:rsidRPr="00A245A5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  <w:u w:val="single"/>
              </w:rPr>
              <w:t>30.01.2019</w:t>
            </w:r>
            <w:r w:rsidR="00A245A5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</w:t>
            </w:r>
            <w:bookmarkEnd w:id="0"/>
            <w:proofErr w:type="gramStart"/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</w:t>
            </w:r>
            <w:r w:rsidR="00A245A5" w:rsidRPr="00A245A5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  <w:u w:val="single"/>
              </w:rPr>
              <w:t>154</w:t>
            </w:r>
            <w:proofErr w:type="gramEnd"/>
          </w:p>
          <w:p w:rsidR="00824193" w:rsidRDefault="00824193" w:rsidP="00824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193" w:rsidRDefault="00824193" w:rsidP="0082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824193" w:rsidRDefault="00824193" w:rsidP="0082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5"/>
        <w:gridCol w:w="2836"/>
        <w:gridCol w:w="1163"/>
        <w:gridCol w:w="1559"/>
        <w:gridCol w:w="1559"/>
        <w:gridCol w:w="1333"/>
        <w:gridCol w:w="85"/>
        <w:gridCol w:w="1048"/>
        <w:gridCol w:w="2325"/>
        <w:gridCol w:w="1645"/>
      </w:tblGrid>
      <w:tr w:rsidR="00824193" w:rsidRPr="00C36EAA" w:rsidTr="00824193">
        <w:tc>
          <w:tcPr>
            <w:tcW w:w="2835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2836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3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25" w:type="dxa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645" w:type="dxa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824193" w:rsidRPr="00C36EAA" w:rsidTr="00824193">
        <w:tc>
          <w:tcPr>
            <w:tcW w:w="2835" w:type="dxa"/>
          </w:tcPr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824193" w:rsidRPr="009B0030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гражданам муниципальных услуг, </w:t>
            </w:r>
            <w:r w:rsidR="00EE3E0F">
              <w:rPr>
                <w:rFonts w:ascii="Times New Roman" w:eastAsia="Times New Roman" w:hAnsi="Times New Roman"/>
                <w:sz w:val="24"/>
                <w:szCs w:val="24"/>
              </w:rPr>
              <w:t>положений,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управление ЖКХ,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сельские поселения</w:t>
            </w:r>
          </w:p>
        </w:tc>
        <w:tc>
          <w:tcPr>
            <w:tcW w:w="1645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824193" w:rsidRPr="00C36EAA" w:rsidTr="00824193">
        <w:tc>
          <w:tcPr>
            <w:tcW w:w="283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824193" w:rsidRPr="00230C34" w:rsidRDefault="00824193" w:rsidP="00824193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645" w:type="dxa"/>
          </w:tcPr>
          <w:p w:rsidR="00824193" w:rsidRPr="00AE3C7C" w:rsidRDefault="00824193" w:rsidP="00824193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824193" w:rsidRPr="00C36EAA" w:rsidTr="00824193">
        <w:tc>
          <w:tcPr>
            <w:tcW w:w="16388" w:type="dxa"/>
            <w:gridSpan w:val="10"/>
          </w:tcPr>
          <w:p w:rsidR="00824193" w:rsidRPr="009301D3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1645" w:type="dxa"/>
            <w:vMerge w:val="restart"/>
          </w:tcPr>
          <w:p w:rsidR="00824193" w:rsidRPr="0052511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получение социокультурной реабилитации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333" w:type="dxa"/>
            <w:shd w:val="clear" w:color="auto" w:fill="FFFFFF" w:themeFill="background1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325" w:type="dxa"/>
            <w:vMerge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1645" w:type="dxa"/>
            <w:vMerge w:val="restart"/>
          </w:tcPr>
          <w:p w:rsidR="00824193" w:rsidRPr="00C36EA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«Пригорское», МКУ «СК «Печерск». МБУ ФОК</w:t>
            </w:r>
          </w:p>
        </w:tc>
        <w:tc>
          <w:tcPr>
            <w:tcW w:w="1645" w:type="dxa"/>
            <w:vMerge w:val="restart"/>
          </w:tcPr>
          <w:p w:rsidR="0082419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2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 w:val="restart"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1645" w:type="dxa"/>
            <w:vMerge w:val="restart"/>
          </w:tcPr>
          <w:p w:rsidR="00824193" w:rsidRPr="00C36EAA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523AF3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3505FD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</w:t>
            </w: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гигиенических помещений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28341C" w:rsidRDefault="00824193" w:rsidP="0082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28341C" w:rsidRDefault="00824193" w:rsidP="0082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32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C36EAA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3505FD" w:rsidRDefault="00824193" w:rsidP="0082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24193" w:rsidRPr="00C36EAA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16388" w:type="dxa"/>
            <w:gridSpan w:val="10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824193" w:rsidRPr="00966DF0" w:rsidTr="00824193">
        <w:trPr>
          <w:trHeight w:val="828"/>
        </w:trPr>
        <w:tc>
          <w:tcPr>
            <w:tcW w:w="2835" w:type="dxa"/>
            <w:vMerge w:val="restart"/>
          </w:tcPr>
          <w:p w:rsidR="00824193" w:rsidRPr="009B0030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25" w:type="dxa"/>
            <w:vMerge w:val="restart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  <w:vMerge w:val="restart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 и др.)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E774BC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0D446C" w:rsidRDefault="00824193" w:rsidP="00824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организаций адаптивной техникой: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тифлотехническими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специлизированными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табло, указателями движения визуальными и тактильными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4D3B1F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2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B558CB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163" w:type="dxa"/>
          </w:tcPr>
          <w:p w:rsidR="00824193" w:rsidRPr="00C04CAE" w:rsidRDefault="00824193" w:rsidP="00824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9046BD" w:rsidRDefault="00C900B0" w:rsidP="00C9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инклюзивного образования в МБОУ Печерской СШ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Default="00824193" w:rsidP="00824193"/>
        </w:tc>
        <w:tc>
          <w:tcPr>
            <w:tcW w:w="1559" w:type="dxa"/>
          </w:tcPr>
          <w:p w:rsidR="00824193" w:rsidRDefault="00824193" w:rsidP="00824193">
            <w:pPr>
              <w:jc w:val="center"/>
            </w:pPr>
          </w:p>
        </w:tc>
        <w:tc>
          <w:tcPr>
            <w:tcW w:w="1418" w:type="dxa"/>
            <w:gridSpan w:val="2"/>
          </w:tcPr>
          <w:p w:rsidR="00824193" w:rsidRPr="00C900B0" w:rsidRDefault="00C900B0" w:rsidP="00824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B0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9046B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«Золотая рыбка» для получения детьми-инвалидами качественного образования, из них:</w:t>
            </w:r>
          </w:p>
        </w:tc>
        <w:tc>
          <w:tcPr>
            <w:tcW w:w="1163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1560,561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Pr="008A0E94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1262,790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296,210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1,561</w:t>
            </w: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172280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8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инклюзивного образования в МБДОУ ЦРР д\с «Рябинушка»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1147,4305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ЦРР д\с «Рябинушка»</w:t>
            </w: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997,26621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149,01679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93" w:rsidRPr="00966DF0" w:rsidTr="00824193">
        <w:tc>
          <w:tcPr>
            <w:tcW w:w="2835" w:type="dxa"/>
            <w:vMerge/>
          </w:tcPr>
          <w:p w:rsidR="00824193" w:rsidRPr="00C36EAA" w:rsidRDefault="00824193" w:rsidP="00824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24193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824193" w:rsidRPr="004F7A86" w:rsidRDefault="00824193" w:rsidP="0082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824193" w:rsidRPr="004F7A86" w:rsidRDefault="00824193" w:rsidP="0082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193" w:rsidRPr="004F7A86" w:rsidRDefault="00824193" w:rsidP="0082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4193" w:rsidRPr="00B913BC" w:rsidRDefault="00824193" w:rsidP="00824193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1,14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418" w:type="dxa"/>
            <w:gridSpan w:val="2"/>
          </w:tcPr>
          <w:p w:rsidR="00824193" w:rsidRPr="00237AFD" w:rsidRDefault="00824193" w:rsidP="0082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824193" w:rsidRDefault="00824193" w:rsidP="0082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24193" w:rsidRPr="00966DF0" w:rsidRDefault="00824193" w:rsidP="0082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046B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«Солнышко» (с.</w:t>
            </w:r>
            <w:r w:rsidR="00C9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Пригорское) для получения детьми-инвалидами качественного образования, из них: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1043,1111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д\с «Солнышко»</w:t>
            </w: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906,60516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135,46284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397BD4" w:rsidRPr="004F7A86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D4" w:rsidRPr="004F7A86" w:rsidRDefault="00397BD4" w:rsidP="0039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BD4" w:rsidRPr="00B913BC" w:rsidRDefault="00397BD4" w:rsidP="00397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7BD4" w:rsidRPr="00237AFD" w:rsidRDefault="00397BD4" w:rsidP="0039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1,0431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645" w:type="dxa"/>
            <w:vMerge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автомобильного транспорта, оборудованного для перевозки детей-инвалидов, в том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числе  инвалидов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программы «Доступная среда»)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маломобильных групп населения</w:t>
            </w:r>
          </w:p>
        </w:tc>
        <w:tc>
          <w:tcPr>
            <w:tcW w:w="1163" w:type="dxa"/>
          </w:tcPr>
          <w:p w:rsidR="00397BD4" w:rsidRPr="00877C3A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877C3A" w:rsidRDefault="00397BD4" w:rsidP="00397B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специалистов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 учреждений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специалистов общеобразовательных учреждений на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обучение,  семинары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конференции для специалистов, занятых в сфере организации деятельности с детьми-инвалидами, детьми с ограниченными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родителями детей-инвалидов на предмет выявления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круга обслуживаемых лиц, выявление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397BD4" w:rsidRPr="00966DF0" w:rsidTr="00824193">
        <w:tc>
          <w:tcPr>
            <w:tcW w:w="2835" w:type="dxa"/>
            <w:vMerge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163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Предоставление услуг и адаптация объектов инфраструктуры в сферах здравоохранения, транспорта, информации и связи (транспортных 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средств, средств связи и информации), включая оборудование объектов необходимыми приспособлениями: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оборудования и носителей информации,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</w:t>
            </w:r>
            <w:proofErr w:type="gramStart"/>
            <w:r w:rsidRPr="003B2D4B">
              <w:rPr>
                <w:rFonts w:ascii="Times New Roman" w:hAnsi="Times New Roman"/>
                <w:sz w:val="24"/>
                <w:szCs w:val="24"/>
              </w:rPr>
              <w:t>для  обеспечения</w:t>
            </w:r>
            <w:proofErr w:type="gramEnd"/>
            <w:r w:rsidRPr="003B2D4B">
              <w:rPr>
                <w:rFonts w:ascii="Times New Roman" w:hAnsi="Times New Roman"/>
                <w:sz w:val="24"/>
                <w:szCs w:val="24"/>
              </w:rPr>
              <w:t xml:space="preserve">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улучшение комфортности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обслуживания инвалидов с учетом ограничений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учреждения культуры,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объектов социальной инфраструктуры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парковками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культуре,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беспрепятственного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сельские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9B003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Администрации сельских поселений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области с помощью Интернет-сайтов для слабовидящих людей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2.4. 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610230" w:rsidRDefault="00397BD4" w:rsidP="0039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жизнедеятельности инвалидов сельских поселений</w:t>
            </w:r>
          </w:p>
        </w:tc>
        <w:tc>
          <w:tcPr>
            <w:tcW w:w="2836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борудование зданий и сооружений для беспрепятственного доступа к ним инвалидов и других маломобильных групп </w:t>
            </w:r>
            <w:proofErr w:type="spellStart"/>
            <w:proofErr w:type="gramStart"/>
            <w:r w:rsidRPr="003B2D4B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жилых домов, не отвечающих требованиям доступности для инвалидов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1A4B0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1A4B0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397BD4" w:rsidRPr="001A4B0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1A4B0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397BD4" w:rsidRPr="001A4B00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1A4B0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397BD4" w:rsidRPr="003B2D4B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торговли </w:t>
            </w:r>
          </w:p>
        </w:tc>
        <w:tc>
          <w:tcPr>
            <w:tcW w:w="2836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1645" w:type="dxa"/>
          </w:tcPr>
          <w:p w:rsidR="00397BD4" w:rsidRPr="00E2083F" w:rsidRDefault="00397BD4" w:rsidP="00397BD4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397BD4" w:rsidRPr="00966DF0" w:rsidTr="00824193">
        <w:tc>
          <w:tcPr>
            <w:tcW w:w="16388" w:type="dxa"/>
            <w:gridSpan w:val="10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836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</w:t>
            </w:r>
            <w:proofErr w:type="gram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специалистов</w:t>
            </w:r>
            <w:proofErr w:type="gram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397BD4" w:rsidRPr="00AE3C7C" w:rsidRDefault="00397BD4" w:rsidP="00397BD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836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397BD4" w:rsidRPr="00AE3C7C" w:rsidRDefault="00397BD4" w:rsidP="00397BD4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397BD4" w:rsidRPr="00AE3C7C" w:rsidRDefault="00397BD4" w:rsidP="00397BD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397BD4" w:rsidRPr="00966DF0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BE5037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из них:</w:t>
            </w:r>
          </w:p>
        </w:tc>
        <w:tc>
          <w:tcPr>
            <w:tcW w:w="1163" w:type="dxa"/>
          </w:tcPr>
          <w:p w:rsidR="00397BD4" w:rsidRPr="00766085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1860,561</w:t>
            </w:r>
          </w:p>
        </w:tc>
        <w:tc>
          <w:tcPr>
            <w:tcW w:w="1559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1447,4305</w:t>
            </w:r>
          </w:p>
        </w:tc>
        <w:tc>
          <w:tcPr>
            <w:tcW w:w="1418" w:type="dxa"/>
            <w:gridSpan w:val="2"/>
          </w:tcPr>
          <w:p w:rsidR="00397BD4" w:rsidRPr="00966DF0" w:rsidRDefault="00397BD4" w:rsidP="0046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1343,111</w:t>
            </w:r>
            <w:r w:rsidR="004641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397BD4" w:rsidRPr="00966DF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966DF0" w:rsidTr="00824193">
        <w:trPr>
          <w:trHeight w:val="142"/>
        </w:trPr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1262,790</w:t>
            </w:r>
          </w:p>
        </w:tc>
        <w:tc>
          <w:tcPr>
            <w:tcW w:w="1559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997,26621</w:t>
            </w:r>
          </w:p>
        </w:tc>
        <w:tc>
          <w:tcPr>
            <w:tcW w:w="1418" w:type="dxa"/>
            <w:gridSpan w:val="2"/>
          </w:tcPr>
          <w:p w:rsidR="00397BD4" w:rsidRDefault="00397BD4" w:rsidP="0046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906,6051</w:t>
            </w:r>
            <w:r w:rsidR="00464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397BD4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97BD4" w:rsidRPr="00966DF0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4" w:rsidRPr="00FB0D89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63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296,210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149,01679</w:t>
            </w:r>
          </w:p>
        </w:tc>
        <w:tc>
          <w:tcPr>
            <w:tcW w:w="1418" w:type="dxa"/>
            <w:gridSpan w:val="2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135,46284</w:t>
            </w:r>
          </w:p>
        </w:tc>
        <w:tc>
          <w:tcPr>
            <w:tcW w:w="1048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232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397BD4" w:rsidRPr="00FB0D89" w:rsidTr="00824193">
        <w:tc>
          <w:tcPr>
            <w:tcW w:w="2835" w:type="dxa"/>
          </w:tcPr>
          <w:p w:rsidR="00397BD4" w:rsidRPr="00C36EAA" w:rsidRDefault="00397BD4" w:rsidP="0039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97BD4" w:rsidRPr="006E2310" w:rsidRDefault="00397BD4" w:rsidP="0039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301,561</w:t>
            </w:r>
          </w:p>
        </w:tc>
        <w:tc>
          <w:tcPr>
            <w:tcW w:w="1559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301,1475</w:t>
            </w:r>
          </w:p>
        </w:tc>
        <w:tc>
          <w:tcPr>
            <w:tcW w:w="1418" w:type="dxa"/>
            <w:gridSpan w:val="2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301,0431</w:t>
            </w:r>
          </w:p>
        </w:tc>
        <w:tc>
          <w:tcPr>
            <w:tcW w:w="1048" w:type="dxa"/>
          </w:tcPr>
          <w:p w:rsidR="00397BD4" w:rsidRPr="006E2310" w:rsidRDefault="00397BD4" w:rsidP="0039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232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397BD4" w:rsidRPr="00FB0D89" w:rsidRDefault="00397BD4" w:rsidP="00397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824193" w:rsidRDefault="00824193" w:rsidP="00397BD4"/>
    <w:sectPr w:rsidR="00824193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02" w:rsidRDefault="00666502" w:rsidP="00E91BF5">
      <w:pPr>
        <w:spacing w:after="0" w:line="240" w:lineRule="auto"/>
      </w:pPr>
      <w:r>
        <w:separator/>
      </w:r>
    </w:p>
  </w:endnote>
  <w:endnote w:type="continuationSeparator" w:id="0">
    <w:p w:rsidR="00666502" w:rsidRDefault="00666502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02" w:rsidRDefault="00666502" w:rsidP="00E91BF5">
      <w:pPr>
        <w:spacing w:after="0" w:line="240" w:lineRule="auto"/>
      </w:pPr>
      <w:r>
        <w:separator/>
      </w:r>
    </w:p>
  </w:footnote>
  <w:footnote w:type="continuationSeparator" w:id="0">
    <w:p w:rsidR="00666502" w:rsidRDefault="00666502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FC" w:rsidRDefault="004641FC" w:rsidP="00970634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2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5C54"/>
    <w:multiLevelType w:val="multilevel"/>
    <w:tmpl w:val="8C4E3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506"/>
    <w:rsid w:val="000016FF"/>
    <w:rsid w:val="00003ACC"/>
    <w:rsid w:val="000428C7"/>
    <w:rsid w:val="00050D15"/>
    <w:rsid w:val="00055FA9"/>
    <w:rsid w:val="00073B46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0F67E3"/>
    <w:rsid w:val="00104505"/>
    <w:rsid w:val="0012240E"/>
    <w:rsid w:val="0013150A"/>
    <w:rsid w:val="00134180"/>
    <w:rsid w:val="00136237"/>
    <w:rsid w:val="00172280"/>
    <w:rsid w:val="0017603D"/>
    <w:rsid w:val="00190AA7"/>
    <w:rsid w:val="001971B1"/>
    <w:rsid w:val="001A089C"/>
    <w:rsid w:val="001A4B00"/>
    <w:rsid w:val="001C18C9"/>
    <w:rsid w:val="001D3809"/>
    <w:rsid w:val="001D7325"/>
    <w:rsid w:val="001E456A"/>
    <w:rsid w:val="001F1B47"/>
    <w:rsid w:val="001F3850"/>
    <w:rsid w:val="001F3CB6"/>
    <w:rsid w:val="00216F7F"/>
    <w:rsid w:val="00230C34"/>
    <w:rsid w:val="00233813"/>
    <w:rsid w:val="002458FA"/>
    <w:rsid w:val="00245C8C"/>
    <w:rsid w:val="00246C84"/>
    <w:rsid w:val="00252622"/>
    <w:rsid w:val="002821F7"/>
    <w:rsid w:val="0028341C"/>
    <w:rsid w:val="002A6F17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20A"/>
    <w:rsid w:val="0031698B"/>
    <w:rsid w:val="0032205D"/>
    <w:rsid w:val="003348E5"/>
    <w:rsid w:val="00340AFC"/>
    <w:rsid w:val="003419A9"/>
    <w:rsid w:val="003422A1"/>
    <w:rsid w:val="003505FD"/>
    <w:rsid w:val="003764A9"/>
    <w:rsid w:val="003852C7"/>
    <w:rsid w:val="00391BF1"/>
    <w:rsid w:val="0039388C"/>
    <w:rsid w:val="00397BD4"/>
    <w:rsid w:val="003A491D"/>
    <w:rsid w:val="003A7C36"/>
    <w:rsid w:val="003C3506"/>
    <w:rsid w:val="003D54ED"/>
    <w:rsid w:val="003F41B8"/>
    <w:rsid w:val="003F5FA3"/>
    <w:rsid w:val="0040358A"/>
    <w:rsid w:val="00403C87"/>
    <w:rsid w:val="00413347"/>
    <w:rsid w:val="0042363D"/>
    <w:rsid w:val="004276AA"/>
    <w:rsid w:val="0043756C"/>
    <w:rsid w:val="004421E8"/>
    <w:rsid w:val="0044551B"/>
    <w:rsid w:val="004539BC"/>
    <w:rsid w:val="00463E63"/>
    <w:rsid w:val="004641FC"/>
    <w:rsid w:val="00476043"/>
    <w:rsid w:val="00495FC2"/>
    <w:rsid w:val="004A6138"/>
    <w:rsid w:val="004C4EFA"/>
    <w:rsid w:val="004C525E"/>
    <w:rsid w:val="004D3B1F"/>
    <w:rsid w:val="004E552A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50314"/>
    <w:rsid w:val="0055341A"/>
    <w:rsid w:val="00575519"/>
    <w:rsid w:val="005868EC"/>
    <w:rsid w:val="00586BFE"/>
    <w:rsid w:val="0059183F"/>
    <w:rsid w:val="005A37A2"/>
    <w:rsid w:val="005B0D57"/>
    <w:rsid w:val="005B6DA1"/>
    <w:rsid w:val="005C00D3"/>
    <w:rsid w:val="005C7B58"/>
    <w:rsid w:val="005E46F7"/>
    <w:rsid w:val="005E77C6"/>
    <w:rsid w:val="00601638"/>
    <w:rsid w:val="00606E8F"/>
    <w:rsid w:val="0063548A"/>
    <w:rsid w:val="00642726"/>
    <w:rsid w:val="00647D10"/>
    <w:rsid w:val="00666502"/>
    <w:rsid w:val="00671D7A"/>
    <w:rsid w:val="00674668"/>
    <w:rsid w:val="00674CCD"/>
    <w:rsid w:val="00682A6F"/>
    <w:rsid w:val="006848B0"/>
    <w:rsid w:val="00687E26"/>
    <w:rsid w:val="006A26B3"/>
    <w:rsid w:val="006A7A79"/>
    <w:rsid w:val="006B43BD"/>
    <w:rsid w:val="006D0015"/>
    <w:rsid w:val="006D4E13"/>
    <w:rsid w:val="006D6501"/>
    <w:rsid w:val="006E2310"/>
    <w:rsid w:val="006E3EC5"/>
    <w:rsid w:val="00702C92"/>
    <w:rsid w:val="0070464D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D3CE3"/>
    <w:rsid w:val="007E21B7"/>
    <w:rsid w:val="007E69BE"/>
    <w:rsid w:val="0081235C"/>
    <w:rsid w:val="008152E6"/>
    <w:rsid w:val="0082332F"/>
    <w:rsid w:val="00824193"/>
    <w:rsid w:val="008251F2"/>
    <w:rsid w:val="00840FED"/>
    <w:rsid w:val="008453B9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E5A13"/>
    <w:rsid w:val="008E6321"/>
    <w:rsid w:val="008F2176"/>
    <w:rsid w:val="009046BD"/>
    <w:rsid w:val="00917BA4"/>
    <w:rsid w:val="009334E8"/>
    <w:rsid w:val="00936789"/>
    <w:rsid w:val="00944A89"/>
    <w:rsid w:val="00947BB6"/>
    <w:rsid w:val="009562A6"/>
    <w:rsid w:val="00960A2A"/>
    <w:rsid w:val="0096480D"/>
    <w:rsid w:val="00966ECE"/>
    <w:rsid w:val="00970634"/>
    <w:rsid w:val="00976CBA"/>
    <w:rsid w:val="009828D4"/>
    <w:rsid w:val="009A313E"/>
    <w:rsid w:val="009B0030"/>
    <w:rsid w:val="009B5E47"/>
    <w:rsid w:val="009C2176"/>
    <w:rsid w:val="009E2523"/>
    <w:rsid w:val="009E5B11"/>
    <w:rsid w:val="009F5775"/>
    <w:rsid w:val="00A245A5"/>
    <w:rsid w:val="00A24E40"/>
    <w:rsid w:val="00A250DE"/>
    <w:rsid w:val="00A25A30"/>
    <w:rsid w:val="00A32DD9"/>
    <w:rsid w:val="00A40A06"/>
    <w:rsid w:val="00A53E1A"/>
    <w:rsid w:val="00A5540F"/>
    <w:rsid w:val="00A6448F"/>
    <w:rsid w:val="00A671B4"/>
    <w:rsid w:val="00A9205B"/>
    <w:rsid w:val="00A966C8"/>
    <w:rsid w:val="00AA040F"/>
    <w:rsid w:val="00AA5D40"/>
    <w:rsid w:val="00AB38DB"/>
    <w:rsid w:val="00AC2A09"/>
    <w:rsid w:val="00AE441D"/>
    <w:rsid w:val="00B132B0"/>
    <w:rsid w:val="00B14D45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84424"/>
    <w:rsid w:val="00C900B0"/>
    <w:rsid w:val="00CA1094"/>
    <w:rsid w:val="00CA13D9"/>
    <w:rsid w:val="00CA3D7A"/>
    <w:rsid w:val="00CD2EAB"/>
    <w:rsid w:val="00CF730F"/>
    <w:rsid w:val="00D00E29"/>
    <w:rsid w:val="00D05750"/>
    <w:rsid w:val="00D06BCE"/>
    <w:rsid w:val="00D20F64"/>
    <w:rsid w:val="00D30365"/>
    <w:rsid w:val="00D3602A"/>
    <w:rsid w:val="00D50E98"/>
    <w:rsid w:val="00D55C42"/>
    <w:rsid w:val="00D616CF"/>
    <w:rsid w:val="00D621BA"/>
    <w:rsid w:val="00D66F13"/>
    <w:rsid w:val="00D71075"/>
    <w:rsid w:val="00D92318"/>
    <w:rsid w:val="00D94F36"/>
    <w:rsid w:val="00DB184A"/>
    <w:rsid w:val="00DB1EDF"/>
    <w:rsid w:val="00DB2D7B"/>
    <w:rsid w:val="00DB403E"/>
    <w:rsid w:val="00DD6436"/>
    <w:rsid w:val="00DE1560"/>
    <w:rsid w:val="00DE2F1A"/>
    <w:rsid w:val="00E010F4"/>
    <w:rsid w:val="00E07931"/>
    <w:rsid w:val="00E167D4"/>
    <w:rsid w:val="00E222ED"/>
    <w:rsid w:val="00E6592C"/>
    <w:rsid w:val="00E7215F"/>
    <w:rsid w:val="00E83240"/>
    <w:rsid w:val="00E91BF5"/>
    <w:rsid w:val="00E92C21"/>
    <w:rsid w:val="00E94FE9"/>
    <w:rsid w:val="00E95855"/>
    <w:rsid w:val="00EA2B1A"/>
    <w:rsid w:val="00EC5E74"/>
    <w:rsid w:val="00ED38E2"/>
    <w:rsid w:val="00ED6F18"/>
    <w:rsid w:val="00ED7359"/>
    <w:rsid w:val="00EE3E0F"/>
    <w:rsid w:val="00F13185"/>
    <w:rsid w:val="00F13DE4"/>
    <w:rsid w:val="00F32601"/>
    <w:rsid w:val="00F430B7"/>
    <w:rsid w:val="00F507B9"/>
    <w:rsid w:val="00F50ADB"/>
    <w:rsid w:val="00F6284F"/>
    <w:rsid w:val="00F90AFD"/>
    <w:rsid w:val="00F97E51"/>
    <w:rsid w:val="00FB0F05"/>
    <w:rsid w:val="00FD7AD6"/>
    <w:rsid w:val="00FF1449"/>
    <w:rsid w:val="00FF1C83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9A0D3-37B7-46A5-8484-4694775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755C-9F58-4BA4-80E1-34E9D62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28</cp:revision>
  <cp:lastPrinted>2019-01-29T11:01:00Z</cp:lastPrinted>
  <dcterms:created xsi:type="dcterms:W3CDTF">2018-03-13T09:08:00Z</dcterms:created>
  <dcterms:modified xsi:type="dcterms:W3CDTF">2019-01-30T07:49:00Z</dcterms:modified>
</cp:coreProperties>
</file>