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394C83" w:rsidTr="00394C83">
        <w:trPr>
          <w:trHeight w:val="1474"/>
        </w:trPr>
        <w:tc>
          <w:tcPr>
            <w:tcW w:w="9781" w:type="dxa"/>
            <w:hideMark/>
          </w:tcPr>
          <w:p w:rsidR="00394C83" w:rsidRDefault="00394C83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4C83" w:rsidTr="00394C83">
        <w:trPr>
          <w:trHeight w:val="661"/>
        </w:trPr>
        <w:tc>
          <w:tcPr>
            <w:tcW w:w="9781" w:type="dxa"/>
            <w:hideMark/>
          </w:tcPr>
          <w:p w:rsidR="00394C83" w:rsidRDefault="00394C83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394C83" w:rsidTr="00394C83">
        <w:trPr>
          <w:trHeight w:val="661"/>
        </w:trPr>
        <w:tc>
          <w:tcPr>
            <w:tcW w:w="9781" w:type="dxa"/>
            <w:hideMark/>
          </w:tcPr>
          <w:p w:rsidR="00394C83" w:rsidRDefault="00394C83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394C83" w:rsidRDefault="00394C83" w:rsidP="00394C83">
      <w:pPr>
        <w:jc w:val="center"/>
        <w:rPr>
          <w:b/>
          <w:bCs/>
          <w:sz w:val="20"/>
        </w:rPr>
      </w:pPr>
    </w:p>
    <w:p w:rsidR="00394C83" w:rsidRDefault="00394C83" w:rsidP="00394C83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118</w:t>
      </w:r>
    </w:p>
    <w:p w:rsidR="00394C83" w:rsidRDefault="00394C83" w:rsidP="00394C83">
      <w:pPr>
        <w:rPr>
          <w:sz w:val="28"/>
          <w:szCs w:val="28"/>
        </w:rPr>
      </w:pPr>
    </w:p>
    <w:p w:rsidR="00394C83" w:rsidRDefault="00394C83" w:rsidP="00394C83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Стабенского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394C83" w:rsidRDefault="00394C83" w:rsidP="00394C83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394C83" w:rsidRDefault="00394C83" w:rsidP="00394C83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394C83" w:rsidRDefault="00394C83" w:rsidP="00394C83">
      <w:pPr>
        <w:ind w:firstLine="709"/>
        <w:jc w:val="both"/>
        <w:rPr>
          <w:rFonts w:eastAsia="Calibri"/>
          <w:sz w:val="28"/>
          <w:szCs w:val="28"/>
        </w:rPr>
      </w:pPr>
    </w:p>
    <w:p w:rsidR="00394C83" w:rsidRDefault="00394C83" w:rsidP="00394C83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94C83" w:rsidRDefault="00394C83" w:rsidP="00394C83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394C83" w:rsidRDefault="00394C83" w:rsidP="00394C8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Стабенский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394C83" w:rsidRDefault="00394C83" w:rsidP="00394C8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Стабенском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394C83" w:rsidRDefault="00394C83" w:rsidP="00394C8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394C83" w:rsidRDefault="00394C83" w:rsidP="00394C83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394C83" w:rsidRDefault="00394C83" w:rsidP="00394C83">
      <w:pPr>
        <w:pStyle w:val="2"/>
        <w:rPr>
          <w:sz w:val="28"/>
          <w:szCs w:val="28"/>
          <w:lang w:val="ru-RU"/>
        </w:rPr>
      </w:pPr>
    </w:p>
    <w:p w:rsidR="00394C83" w:rsidRDefault="00394C83" w:rsidP="00394C83">
      <w:pPr>
        <w:pStyle w:val="2"/>
        <w:rPr>
          <w:sz w:val="28"/>
          <w:szCs w:val="28"/>
          <w:lang w:val="ru-RU"/>
        </w:rPr>
      </w:pPr>
    </w:p>
    <w:p w:rsidR="00394C83" w:rsidRDefault="00394C83" w:rsidP="00394C83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394C83" w:rsidRDefault="00394C83" w:rsidP="00394C83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394C83" w:rsidRDefault="00394C83" w:rsidP="00394C83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394C83" w:rsidRDefault="00394C83" w:rsidP="00394C83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394C83" w:rsidTr="00394C83">
        <w:tc>
          <w:tcPr>
            <w:tcW w:w="5211" w:type="dxa"/>
            <w:hideMark/>
          </w:tcPr>
          <w:p w:rsidR="00394C83" w:rsidRDefault="00394C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94C83" w:rsidRDefault="00394C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394C83" w:rsidRDefault="00394C83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394C83" w:rsidRDefault="00394C83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394C83" w:rsidRDefault="00394C83" w:rsidP="00394C83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394C83" w:rsidTr="00394C83">
        <w:trPr>
          <w:cantSplit/>
        </w:trPr>
        <w:tc>
          <w:tcPr>
            <w:tcW w:w="4748" w:type="dxa"/>
          </w:tcPr>
          <w:p w:rsidR="00394C83" w:rsidRDefault="00394C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394C83" w:rsidRDefault="00394C8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4C83" w:rsidRDefault="00394C83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C83" w:rsidTr="00394C83">
        <w:trPr>
          <w:cantSplit/>
        </w:trPr>
        <w:tc>
          <w:tcPr>
            <w:tcW w:w="4748" w:type="dxa"/>
          </w:tcPr>
          <w:p w:rsidR="00394C83" w:rsidRDefault="00394C83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394C83" w:rsidRDefault="00394C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394C83" w:rsidRDefault="00394C83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394C83" w:rsidRDefault="00394C83" w:rsidP="00394C83">
      <w:pPr>
        <w:rPr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394C83" w:rsidRDefault="00394C83" w:rsidP="00DF1C99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DF1C99" w:rsidRPr="00704410" w:rsidRDefault="00DF1C99" w:rsidP="00DF1C99">
      <w:pPr>
        <w:pStyle w:val="a9"/>
        <w:ind w:left="4395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lastRenderedPageBreak/>
        <w:t>УТВЕРЖДЕНО</w:t>
      </w:r>
    </w:p>
    <w:p w:rsidR="00DF1C99" w:rsidRPr="00704410" w:rsidRDefault="00DF1C99" w:rsidP="00DF1C99">
      <w:pPr>
        <w:pStyle w:val="a9"/>
        <w:ind w:left="4395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решением Смоленской окружной Думы</w:t>
      </w:r>
    </w:p>
    <w:p w:rsidR="00DF1C99" w:rsidRPr="00704410" w:rsidRDefault="00DF1C99" w:rsidP="00DF1C99">
      <w:pPr>
        <w:pStyle w:val="a9"/>
        <w:ind w:left="4395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от 26 декабря</w:t>
      </w:r>
      <w:r w:rsidRPr="00704410">
        <w:rPr>
          <w:b/>
          <w:color w:val="auto"/>
          <w:sz w:val="28"/>
          <w:szCs w:val="28"/>
        </w:rPr>
        <w:t xml:space="preserve"> </w:t>
      </w:r>
      <w:r w:rsidRPr="00704410">
        <w:rPr>
          <w:color w:val="auto"/>
          <w:sz w:val="28"/>
          <w:szCs w:val="28"/>
        </w:rPr>
        <w:t>2024 года № 118</w:t>
      </w:r>
    </w:p>
    <w:p w:rsidR="00DF1C99" w:rsidRPr="00704410" w:rsidRDefault="00DF1C99" w:rsidP="00DF1C99">
      <w:pPr>
        <w:ind w:left="4820"/>
        <w:rPr>
          <w:sz w:val="28"/>
          <w:szCs w:val="28"/>
        </w:rPr>
      </w:pPr>
    </w:p>
    <w:p w:rsidR="00DF1C99" w:rsidRPr="00704410" w:rsidRDefault="00DF1C99" w:rsidP="00DF1C99">
      <w:pPr>
        <w:rPr>
          <w:sz w:val="28"/>
          <w:szCs w:val="28"/>
        </w:rPr>
      </w:pPr>
    </w:p>
    <w:p w:rsidR="00DF1C99" w:rsidRPr="00704410" w:rsidRDefault="00DF1C99" w:rsidP="00DF1C9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DF1C99" w:rsidRPr="00704410" w:rsidRDefault="00DF1C99" w:rsidP="00DF1C9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>О СТАБЕНСКОМ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DF1C99" w:rsidRPr="00704410" w:rsidRDefault="00DF1C99" w:rsidP="00DF1C99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F1C99" w:rsidRPr="00704410" w:rsidRDefault="00DF1C99" w:rsidP="00DF1C99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4410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DF1C99" w:rsidRPr="00704410" w:rsidRDefault="00DF1C99" w:rsidP="00DF1C99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F1C99" w:rsidRPr="00704410" w:rsidRDefault="00DF1C99" w:rsidP="00DF1C9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4410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704410">
        <w:rPr>
          <w:rFonts w:ascii="Times New Roman" w:hAnsi="Times New Roman"/>
          <w:bCs/>
          <w:color w:val="auto"/>
          <w:sz w:val="28"/>
          <w:szCs w:val="28"/>
        </w:rPr>
        <w:t>Стабенском</w:t>
      </w:r>
      <w:proofErr w:type="spellEnd"/>
      <w:r w:rsidRPr="00704410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DF1C99" w:rsidRPr="00704410" w:rsidRDefault="00DF1C99" w:rsidP="00DF1C9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4410">
        <w:rPr>
          <w:bCs/>
          <w:sz w:val="28"/>
          <w:szCs w:val="28"/>
        </w:rPr>
        <w:t xml:space="preserve">1.2. </w:t>
      </w:r>
      <w:proofErr w:type="spellStart"/>
      <w:proofErr w:type="gramStart"/>
      <w:r w:rsidRPr="00704410">
        <w:rPr>
          <w:bCs/>
          <w:sz w:val="28"/>
          <w:szCs w:val="28"/>
        </w:rPr>
        <w:t>Стабенский</w:t>
      </w:r>
      <w:proofErr w:type="spellEnd"/>
      <w:r w:rsidRPr="00704410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округ» Смоленской области (далее также – Администрация муниципального</w:t>
      </w:r>
      <w:proofErr w:type="gramEnd"/>
      <w:r w:rsidRPr="00704410">
        <w:rPr>
          <w:bCs/>
          <w:sz w:val="28"/>
          <w:szCs w:val="28"/>
        </w:rPr>
        <w:t xml:space="preserve"> </w:t>
      </w:r>
      <w:proofErr w:type="gramStart"/>
      <w:r w:rsidRPr="00704410">
        <w:rPr>
          <w:bCs/>
          <w:sz w:val="28"/>
          <w:szCs w:val="28"/>
        </w:rPr>
        <w:t xml:space="preserve">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gramStart"/>
      <w:r w:rsidRPr="00704410">
        <w:rPr>
          <w:color w:val="auto"/>
          <w:sz w:val="28"/>
          <w:szCs w:val="28"/>
        </w:rPr>
        <w:t>Покорное</w:t>
      </w:r>
      <w:proofErr w:type="gram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Абрамково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Дуброво;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Жуково;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Заборье;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Замощье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Захарино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Зыколино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Иловка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Ивахово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Кошелево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Лаврово;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Лентево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Мазальцево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Морозово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Мощинки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lastRenderedPageBreak/>
        <w:t>- деревня Новоселки;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Новая Деревня;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Новое </w:t>
      </w:r>
      <w:proofErr w:type="spellStart"/>
      <w:r w:rsidRPr="00704410">
        <w:rPr>
          <w:color w:val="auto"/>
          <w:sz w:val="28"/>
          <w:szCs w:val="28"/>
        </w:rPr>
        <w:t>Корявино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Ольховики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Пенеснарь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Профилакторий Кристалл;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Профилакторий СААЗ;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Плаи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Рязаново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Семиречье;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Смугулино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proofErr w:type="gramStart"/>
      <w:r w:rsidRPr="00704410">
        <w:rPr>
          <w:color w:val="auto"/>
          <w:sz w:val="28"/>
          <w:szCs w:val="28"/>
        </w:rPr>
        <w:t>Спас-Липки</w:t>
      </w:r>
      <w:proofErr w:type="spellEnd"/>
      <w:proofErr w:type="gram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Стабна;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Старое </w:t>
      </w:r>
      <w:proofErr w:type="spellStart"/>
      <w:r w:rsidRPr="00704410">
        <w:rPr>
          <w:color w:val="auto"/>
          <w:sz w:val="28"/>
          <w:szCs w:val="28"/>
        </w:rPr>
        <w:t>Корявино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Терехи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Фефелово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Щитники;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Юшино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Аполье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Волоты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Вязгино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Гор-Аполье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Горбуны;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Дегтяри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Донец;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Дубровка;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Желуды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Кадищи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Купелище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Михалково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 Переезд;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Самолюбово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Симоновка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Солошино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proofErr w:type="gramStart"/>
      <w:r w:rsidRPr="00704410">
        <w:rPr>
          <w:color w:val="auto"/>
          <w:sz w:val="28"/>
          <w:szCs w:val="28"/>
        </w:rPr>
        <w:t>Сыр-Липки</w:t>
      </w:r>
      <w:proofErr w:type="spellEnd"/>
      <w:proofErr w:type="gram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- деревня </w:t>
      </w:r>
      <w:proofErr w:type="spellStart"/>
      <w:r w:rsidRPr="00704410">
        <w:rPr>
          <w:color w:val="auto"/>
          <w:sz w:val="28"/>
          <w:szCs w:val="28"/>
        </w:rPr>
        <w:t>Холковичи</w:t>
      </w:r>
      <w:proofErr w:type="spellEnd"/>
      <w:r w:rsidRPr="00704410">
        <w:rPr>
          <w:color w:val="auto"/>
          <w:sz w:val="28"/>
          <w:szCs w:val="28"/>
        </w:rPr>
        <w:t>;</w:t>
      </w:r>
    </w:p>
    <w:p w:rsidR="00DF1C99" w:rsidRPr="00704410" w:rsidRDefault="00DF1C99" w:rsidP="00DF1C9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- деревня</w:t>
      </w:r>
      <w:proofErr w:type="gramStart"/>
      <w:r w:rsidRPr="00704410">
        <w:rPr>
          <w:color w:val="auto"/>
          <w:sz w:val="28"/>
          <w:szCs w:val="28"/>
        </w:rPr>
        <w:t xml:space="preserve"> Ч</w:t>
      </w:r>
      <w:proofErr w:type="gramEnd"/>
      <w:r w:rsidRPr="00704410">
        <w:rPr>
          <w:color w:val="auto"/>
          <w:sz w:val="28"/>
          <w:szCs w:val="28"/>
        </w:rPr>
        <w:t>ернея.</w:t>
      </w:r>
    </w:p>
    <w:p w:rsidR="00DF1C99" w:rsidRPr="00704410" w:rsidRDefault="00DF1C99" w:rsidP="00DF1C9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4410">
        <w:rPr>
          <w:sz w:val="28"/>
          <w:szCs w:val="28"/>
        </w:rPr>
        <w:t xml:space="preserve"> (далее также – подведомственная территория)</w:t>
      </w:r>
      <w:r w:rsidRPr="00704410">
        <w:rPr>
          <w:bCs/>
          <w:sz w:val="28"/>
          <w:szCs w:val="28"/>
        </w:rPr>
        <w:t>;</w:t>
      </w:r>
    </w:p>
    <w:p w:rsidR="00553B9E" w:rsidRPr="00704410" w:rsidRDefault="00553B9E" w:rsidP="00553B9E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 xml:space="preserve">1.2.1. В состав </w:t>
      </w:r>
      <w:proofErr w:type="spellStart"/>
      <w:r w:rsidRPr="00704410">
        <w:rPr>
          <w:rFonts w:ascii="Times New Roman" w:hAnsi="Times New Roman"/>
          <w:bCs/>
          <w:color w:val="auto"/>
          <w:sz w:val="28"/>
          <w:szCs w:val="28"/>
        </w:rPr>
        <w:t>Стабенского</w:t>
      </w:r>
      <w:proofErr w:type="spellEnd"/>
      <w:r w:rsidRPr="00704410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 муниципальный округ» Смоленской области входит </w:t>
      </w:r>
      <w:proofErr w:type="spellStart"/>
      <w:r w:rsidRPr="00704410">
        <w:rPr>
          <w:rFonts w:ascii="Times New Roman" w:hAnsi="Times New Roman"/>
          <w:bCs/>
          <w:color w:val="auto"/>
          <w:sz w:val="28"/>
          <w:szCs w:val="28"/>
        </w:rPr>
        <w:t>Вязгинский</w:t>
      </w:r>
      <w:proofErr w:type="spellEnd"/>
      <w:r w:rsidRPr="00704410">
        <w:rPr>
          <w:rFonts w:ascii="Times New Roman" w:hAnsi="Times New Roman"/>
          <w:bCs/>
          <w:color w:val="auto"/>
          <w:sz w:val="28"/>
          <w:szCs w:val="28"/>
        </w:rPr>
        <w:t xml:space="preserve"> сектор.</w:t>
      </w:r>
    </w:p>
    <w:p w:rsidR="002E3119" w:rsidRPr="00704410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>1.3.</w:t>
      </w:r>
      <w:r w:rsidRPr="00704410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70441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04410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</w:t>
      </w:r>
      <w:r w:rsidRPr="00704410">
        <w:rPr>
          <w:rFonts w:ascii="Times New Roman" w:hAnsi="Times New Roman"/>
          <w:color w:val="auto"/>
          <w:sz w:val="28"/>
          <w:szCs w:val="28"/>
        </w:rPr>
        <w:lastRenderedPageBreak/>
        <w:t>территориальным органом Администрации муниципального округа.</w:t>
      </w:r>
    </w:p>
    <w:p w:rsidR="002E3119" w:rsidRPr="00704410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704410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704410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4410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704410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704410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704410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704410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DF1C99" w:rsidRPr="00704410" w:rsidRDefault="00DF1C99" w:rsidP="00DF1C9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 xml:space="preserve">1.11. Полное наименование: </w:t>
      </w:r>
      <w:proofErr w:type="spellStart"/>
      <w:r w:rsidRPr="00704410">
        <w:rPr>
          <w:sz w:val="28"/>
          <w:szCs w:val="28"/>
        </w:rPr>
        <w:t>Стабенский</w:t>
      </w:r>
      <w:proofErr w:type="spellEnd"/>
      <w:r w:rsidRPr="00704410"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район» Смоленской области;</w:t>
      </w:r>
    </w:p>
    <w:p w:rsidR="00DF1C99" w:rsidRPr="00704410" w:rsidRDefault="00DF1C99" w:rsidP="00DF1C9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 xml:space="preserve">1.12. Краткое: </w:t>
      </w:r>
      <w:proofErr w:type="spellStart"/>
      <w:r w:rsidRPr="00704410">
        <w:rPr>
          <w:sz w:val="28"/>
          <w:szCs w:val="28"/>
        </w:rPr>
        <w:t>Стабенский</w:t>
      </w:r>
      <w:proofErr w:type="spellEnd"/>
      <w:r w:rsidRPr="00704410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DF1C99" w:rsidRPr="00704410" w:rsidRDefault="00DF1C99" w:rsidP="00DF1C99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704410">
        <w:rPr>
          <w:sz w:val="28"/>
          <w:szCs w:val="28"/>
        </w:rPr>
        <w:t xml:space="preserve">1.13. </w:t>
      </w:r>
      <w:proofErr w:type="gramStart"/>
      <w:r w:rsidRPr="00704410">
        <w:rPr>
          <w:sz w:val="28"/>
          <w:szCs w:val="28"/>
        </w:rPr>
        <w:t>Место нахождения: 214550, Смоленская область, Смоленский район,   д. Покорное, ул. Школьная д.26;</w:t>
      </w:r>
      <w:proofErr w:type="gramEnd"/>
    </w:p>
    <w:p w:rsidR="002E3119" w:rsidRPr="00704410" w:rsidRDefault="00DF1C99" w:rsidP="00DF1C99">
      <w:pPr>
        <w:shd w:val="clear" w:color="auto" w:fill="FFFFFF"/>
        <w:ind w:firstLine="540"/>
        <w:jc w:val="both"/>
        <w:rPr>
          <w:sz w:val="28"/>
          <w:szCs w:val="28"/>
        </w:rPr>
      </w:pPr>
      <w:r w:rsidRPr="00704410">
        <w:rPr>
          <w:sz w:val="28"/>
          <w:szCs w:val="28"/>
        </w:rPr>
        <w:lastRenderedPageBreak/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704410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4410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704410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2.1.</w:t>
      </w:r>
      <w:r w:rsidRPr="00704410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704410">
        <w:rPr>
          <w:color w:val="auto"/>
          <w:sz w:val="28"/>
          <w:szCs w:val="28"/>
        </w:rPr>
        <w:t>контроле за</w:t>
      </w:r>
      <w:proofErr w:type="gramEnd"/>
      <w:r w:rsidRPr="00704410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2.2.</w:t>
      </w:r>
      <w:r w:rsidRPr="00704410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704410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704410">
        <w:rPr>
          <w:b/>
          <w:color w:val="auto"/>
          <w:sz w:val="28"/>
          <w:szCs w:val="28"/>
        </w:rPr>
        <w:t xml:space="preserve">3. </w:t>
      </w:r>
      <w:r w:rsidRPr="00704410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704410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rFonts w:eastAsia="Calibri"/>
          <w:sz w:val="28"/>
          <w:szCs w:val="28"/>
        </w:rPr>
        <w:t>3.1.6.</w:t>
      </w:r>
      <w:r w:rsidRPr="00704410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704410">
          <w:rPr>
            <w:sz w:val="28"/>
            <w:szCs w:val="28"/>
          </w:rPr>
          <w:t>законом</w:t>
        </w:r>
      </w:hyperlink>
      <w:r w:rsidRPr="00704410">
        <w:rPr>
          <w:sz w:val="28"/>
          <w:szCs w:val="28"/>
        </w:rPr>
        <w:t xml:space="preserve"> от 7 июля 2003 года N 112-</w:t>
      </w:r>
      <w:r w:rsidRPr="00704410">
        <w:rPr>
          <w:sz w:val="28"/>
          <w:szCs w:val="28"/>
        </w:rPr>
        <w:lastRenderedPageBreak/>
        <w:t xml:space="preserve">ФЗ «О личном подсобном хозяйстве», в </w:t>
      </w:r>
      <w:proofErr w:type="spellStart"/>
      <w:r w:rsidRPr="00704410">
        <w:rPr>
          <w:sz w:val="28"/>
          <w:szCs w:val="28"/>
        </w:rPr>
        <w:t>похозяйственных</w:t>
      </w:r>
      <w:proofErr w:type="spellEnd"/>
      <w:r w:rsidRPr="00704410">
        <w:rPr>
          <w:sz w:val="28"/>
          <w:szCs w:val="28"/>
        </w:rPr>
        <w:t xml:space="preserve"> книгах. </w:t>
      </w:r>
      <w:r w:rsidRPr="00704410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704410">
        <w:rPr>
          <w:rFonts w:eastAsia="Calibri"/>
          <w:sz w:val="28"/>
          <w:szCs w:val="28"/>
        </w:rPr>
        <w:t>похозяйственных</w:t>
      </w:r>
      <w:proofErr w:type="spellEnd"/>
      <w:r w:rsidRPr="00704410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704410">
        <w:rPr>
          <w:rFonts w:eastAsia="Calibri"/>
          <w:sz w:val="28"/>
          <w:szCs w:val="28"/>
        </w:rPr>
        <w:t>похозяйственных</w:t>
      </w:r>
      <w:proofErr w:type="spellEnd"/>
      <w:r w:rsidRPr="00704410">
        <w:rPr>
          <w:rFonts w:eastAsia="Calibri"/>
          <w:sz w:val="28"/>
          <w:szCs w:val="28"/>
        </w:rPr>
        <w:t xml:space="preserve"> книг;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704410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704410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704410">
        <w:rPr>
          <w:rFonts w:eastAsia="Calibri"/>
          <w:sz w:val="28"/>
          <w:szCs w:val="28"/>
        </w:rPr>
        <w:t>досуговых</w:t>
      </w:r>
      <w:proofErr w:type="spellEnd"/>
      <w:r w:rsidRPr="00704410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70441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04410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3.1.17.2. </w:t>
      </w:r>
      <w:proofErr w:type="gramStart"/>
      <w:r w:rsidRPr="00704410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lastRenderedPageBreak/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704410">
        <w:rPr>
          <w:color w:val="auto"/>
          <w:sz w:val="28"/>
          <w:szCs w:val="28"/>
        </w:rPr>
        <w:t>электро</w:t>
      </w:r>
      <w:proofErr w:type="spellEnd"/>
      <w:r w:rsidRPr="00704410">
        <w:rPr>
          <w:color w:val="auto"/>
          <w:sz w:val="28"/>
          <w:szCs w:val="28"/>
        </w:rPr>
        <w:t>-, тепл</w:t>
      </w:r>
      <w:proofErr w:type="gramStart"/>
      <w:r w:rsidRPr="00704410">
        <w:rPr>
          <w:color w:val="auto"/>
          <w:sz w:val="28"/>
          <w:szCs w:val="28"/>
        </w:rPr>
        <w:t>о-</w:t>
      </w:r>
      <w:proofErr w:type="gramEnd"/>
      <w:r w:rsidRPr="00704410">
        <w:rPr>
          <w:color w:val="auto"/>
          <w:sz w:val="28"/>
          <w:szCs w:val="28"/>
        </w:rPr>
        <w:t xml:space="preserve">, </w:t>
      </w:r>
      <w:proofErr w:type="spellStart"/>
      <w:r w:rsidRPr="00704410">
        <w:rPr>
          <w:color w:val="auto"/>
          <w:sz w:val="28"/>
          <w:szCs w:val="28"/>
        </w:rPr>
        <w:t>газо</w:t>
      </w:r>
      <w:proofErr w:type="spellEnd"/>
      <w:r w:rsidRPr="00704410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3.1.24. Участвует в мероприятиях по мониторингу территории и оповещению населения, организуемых в рамках предупреждения и </w:t>
      </w:r>
      <w:r w:rsidRPr="00704410">
        <w:rPr>
          <w:color w:val="auto"/>
          <w:sz w:val="28"/>
          <w:szCs w:val="28"/>
        </w:rPr>
        <w:lastRenderedPageBreak/>
        <w:t>ликвидации последствий чрезвычайных ситуаций в границах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704410">
        <w:rPr>
          <w:color w:val="auto"/>
          <w:sz w:val="28"/>
          <w:szCs w:val="28"/>
        </w:rPr>
        <w:t>контроле за</w:t>
      </w:r>
      <w:proofErr w:type="gramEnd"/>
      <w:r w:rsidRPr="00704410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704410">
        <w:rPr>
          <w:color w:val="auto"/>
          <w:sz w:val="28"/>
          <w:szCs w:val="28"/>
        </w:rPr>
        <w:t>бюджетирование</w:t>
      </w:r>
      <w:proofErr w:type="spellEnd"/>
      <w:r w:rsidRPr="00704410">
        <w:rPr>
          <w:color w:val="auto"/>
          <w:sz w:val="28"/>
          <w:szCs w:val="28"/>
        </w:rPr>
        <w:t>);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lastRenderedPageBreak/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704410">
        <w:rPr>
          <w:color w:val="auto"/>
          <w:sz w:val="28"/>
          <w:szCs w:val="28"/>
        </w:rPr>
        <w:t>электро</w:t>
      </w:r>
      <w:proofErr w:type="spellEnd"/>
      <w:r w:rsidRPr="00704410">
        <w:rPr>
          <w:color w:val="auto"/>
          <w:sz w:val="28"/>
          <w:szCs w:val="28"/>
        </w:rPr>
        <w:t>-, тепл</w:t>
      </w:r>
      <w:proofErr w:type="gramStart"/>
      <w:r w:rsidRPr="00704410">
        <w:rPr>
          <w:color w:val="auto"/>
          <w:sz w:val="28"/>
          <w:szCs w:val="28"/>
        </w:rPr>
        <w:t>о-</w:t>
      </w:r>
      <w:proofErr w:type="gramEnd"/>
      <w:r w:rsidRPr="00704410">
        <w:rPr>
          <w:color w:val="auto"/>
          <w:sz w:val="28"/>
          <w:szCs w:val="28"/>
        </w:rPr>
        <w:t xml:space="preserve">, </w:t>
      </w:r>
      <w:proofErr w:type="spellStart"/>
      <w:r w:rsidRPr="00704410">
        <w:rPr>
          <w:color w:val="auto"/>
          <w:sz w:val="28"/>
          <w:szCs w:val="28"/>
        </w:rPr>
        <w:t>газо</w:t>
      </w:r>
      <w:proofErr w:type="spellEnd"/>
      <w:r w:rsidRPr="00704410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 xml:space="preserve">3.1.44. Осуществляет </w:t>
      </w:r>
      <w:hyperlink r:id="rId9" w:history="1">
        <w:r w:rsidRPr="00704410">
          <w:rPr>
            <w:sz w:val="28"/>
            <w:szCs w:val="28"/>
          </w:rPr>
          <w:t>деятельность</w:t>
        </w:r>
      </w:hyperlink>
      <w:r w:rsidRPr="00704410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3.1.51</w:t>
      </w:r>
      <w:proofErr w:type="gramStart"/>
      <w:r w:rsidRPr="00704410">
        <w:rPr>
          <w:sz w:val="28"/>
          <w:szCs w:val="28"/>
        </w:rPr>
        <w:t xml:space="preserve"> П</w:t>
      </w:r>
      <w:proofErr w:type="gramEnd"/>
      <w:r w:rsidRPr="00704410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 xml:space="preserve">3.1.52. Принимает документы и осуществляет подготовку проектов распорядительных и иных документов на признание помещения </w:t>
      </w:r>
      <w:r w:rsidRPr="00704410">
        <w:rPr>
          <w:sz w:val="28"/>
          <w:szCs w:val="28"/>
        </w:rPr>
        <w:lastRenderedPageBreak/>
        <w:t>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70441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704410">
        <w:rPr>
          <w:sz w:val="28"/>
          <w:szCs w:val="28"/>
        </w:rPr>
        <w:t>малоимущими</w:t>
      </w:r>
      <w:proofErr w:type="gramEnd"/>
      <w:r w:rsidRPr="00704410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704410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704410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704410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704410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704410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704410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704410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70441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lastRenderedPageBreak/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704410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704410" w:rsidRDefault="002E3119" w:rsidP="002E3119">
      <w:pPr>
        <w:jc w:val="center"/>
        <w:rPr>
          <w:b/>
          <w:sz w:val="28"/>
          <w:szCs w:val="28"/>
        </w:rPr>
      </w:pPr>
      <w:r w:rsidRPr="00704410">
        <w:rPr>
          <w:b/>
          <w:sz w:val="28"/>
          <w:szCs w:val="28"/>
        </w:rPr>
        <w:t>5. ОРГАНИЗАЦИОННАЯ  ДЕЯТЕЛЬНОСТЬ   КОМИТЕТА</w:t>
      </w:r>
    </w:p>
    <w:p w:rsidR="002E3119" w:rsidRPr="00704410" w:rsidRDefault="002E3119" w:rsidP="002E3119">
      <w:pPr>
        <w:jc w:val="both"/>
        <w:rPr>
          <w:b/>
          <w:sz w:val="28"/>
          <w:szCs w:val="28"/>
        </w:rPr>
      </w:pP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704410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70441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04410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704410" w:rsidRDefault="002E3119" w:rsidP="002E3119">
      <w:pPr>
        <w:ind w:firstLine="709"/>
        <w:rPr>
          <w:sz w:val="28"/>
          <w:szCs w:val="28"/>
        </w:rPr>
      </w:pPr>
      <w:r w:rsidRPr="00704410">
        <w:rPr>
          <w:sz w:val="28"/>
          <w:szCs w:val="28"/>
        </w:rPr>
        <w:t>5.4. Председатель Комитета: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руководит деятельностью Комитета;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-проводит личный прием граждан;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- осуществляет иные полномочия.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lastRenderedPageBreak/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704410" w:rsidRDefault="002E3119" w:rsidP="002E3119">
      <w:pPr>
        <w:jc w:val="center"/>
        <w:rPr>
          <w:b/>
          <w:sz w:val="28"/>
          <w:szCs w:val="28"/>
        </w:rPr>
      </w:pPr>
    </w:p>
    <w:p w:rsidR="002E3119" w:rsidRPr="00704410" w:rsidRDefault="002E3119" w:rsidP="002E3119">
      <w:pPr>
        <w:jc w:val="center"/>
        <w:rPr>
          <w:b/>
          <w:sz w:val="28"/>
          <w:szCs w:val="28"/>
        </w:rPr>
      </w:pPr>
      <w:r w:rsidRPr="00704410">
        <w:rPr>
          <w:b/>
          <w:sz w:val="28"/>
          <w:szCs w:val="28"/>
        </w:rPr>
        <w:t>6. ВНЕСЕНИЕ ИЗМЕНЕНИЙ В ПОЛОЖЕНИЕ,</w:t>
      </w:r>
    </w:p>
    <w:p w:rsidR="002E3119" w:rsidRPr="00704410" w:rsidRDefault="002E3119" w:rsidP="002E3119">
      <w:pPr>
        <w:jc w:val="center"/>
        <w:rPr>
          <w:b/>
          <w:sz w:val="28"/>
          <w:szCs w:val="28"/>
        </w:rPr>
      </w:pPr>
      <w:r w:rsidRPr="00704410">
        <w:rPr>
          <w:b/>
          <w:sz w:val="28"/>
          <w:szCs w:val="28"/>
        </w:rPr>
        <w:t>РЕОРГАНИЗАЦИЯ И ЛИКВИДАЦИЯ КОМИТЕТА</w:t>
      </w:r>
    </w:p>
    <w:p w:rsidR="002E3119" w:rsidRPr="00704410" w:rsidRDefault="002E3119" w:rsidP="002E3119">
      <w:pPr>
        <w:jc w:val="center"/>
        <w:rPr>
          <w:sz w:val="28"/>
          <w:szCs w:val="28"/>
        </w:rPr>
      </w:pP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704410" w:rsidRDefault="002E3119" w:rsidP="002E3119">
      <w:pPr>
        <w:ind w:firstLine="709"/>
        <w:jc w:val="both"/>
        <w:rPr>
          <w:sz w:val="28"/>
          <w:szCs w:val="28"/>
        </w:rPr>
      </w:pPr>
      <w:r w:rsidRPr="00704410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704410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704410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704410" w:rsidRDefault="002E3119" w:rsidP="002E3119">
      <w:pPr>
        <w:rPr>
          <w:sz w:val="28"/>
          <w:szCs w:val="28"/>
        </w:rPr>
      </w:pPr>
    </w:p>
    <w:p w:rsidR="0007338F" w:rsidRPr="00704410" w:rsidRDefault="0007338F"/>
    <w:sectPr w:rsidR="0007338F" w:rsidRPr="00704410" w:rsidSect="00081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22" w:rsidRDefault="00881322" w:rsidP="00A653DD">
      <w:r>
        <w:separator/>
      </w:r>
    </w:p>
  </w:endnote>
  <w:endnote w:type="continuationSeparator" w:id="0">
    <w:p w:rsidR="00881322" w:rsidRDefault="00881322" w:rsidP="00A6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1D1FB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8813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881322">
    <w:pPr>
      <w:pStyle w:val="a6"/>
      <w:framePr w:wrap="around" w:vAnchor="text" w:hAnchor="margin" w:xAlign="right" w:y="1"/>
      <w:rPr>
        <w:rStyle w:val="a5"/>
      </w:rPr>
    </w:pPr>
  </w:p>
  <w:p w:rsidR="002859B7" w:rsidRDefault="0088132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Default="008813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22" w:rsidRDefault="00881322" w:rsidP="00A653DD">
      <w:r>
        <w:separator/>
      </w:r>
    </w:p>
  </w:footnote>
  <w:footnote w:type="continuationSeparator" w:id="0">
    <w:p w:rsidR="00881322" w:rsidRDefault="00881322" w:rsidP="00A65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1D1FB2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8813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E" w:rsidRDefault="008813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Pr="00491517" w:rsidRDefault="00881322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1D1FB2"/>
    <w:rsid w:val="002E3119"/>
    <w:rsid w:val="00394C83"/>
    <w:rsid w:val="00553B9E"/>
    <w:rsid w:val="005D59C5"/>
    <w:rsid w:val="00704410"/>
    <w:rsid w:val="008756F2"/>
    <w:rsid w:val="00881322"/>
    <w:rsid w:val="00A075A6"/>
    <w:rsid w:val="00A31FEB"/>
    <w:rsid w:val="00A653DD"/>
    <w:rsid w:val="00BE52D0"/>
    <w:rsid w:val="00CC79EB"/>
    <w:rsid w:val="00DE410C"/>
    <w:rsid w:val="00DF1C99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C83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394C83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4C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4C83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394C83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394C83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3766</Words>
  <Characters>21467</Characters>
  <Application>Microsoft Office Word</Application>
  <DocSecurity>0</DocSecurity>
  <Lines>178</Lines>
  <Paragraphs>50</Paragraphs>
  <ScaleCrop>false</ScaleCrop>
  <Company/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7</cp:revision>
  <dcterms:created xsi:type="dcterms:W3CDTF">2025-01-14T14:38:00Z</dcterms:created>
  <dcterms:modified xsi:type="dcterms:W3CDTF">2025-01-17T06:55:00Z</dcterms:modified>
</cp:coreProperties>
</file>