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45" w:type="dxa"/>
        <w:tblInd w:w="93" w:type="dxa"/>
        <w:tblLook w:val="04A0" w:firstRow="1" w:lastRow="0" w:firstColumn="1" w:lastColumn="0" w:noHBand="0" w:noVBand="1"/>
      </w:tblPr>
      <w:tblGrid>
        <w:gridCol w:w="4693"/>
        <w:gridCol w:w="1282"/>
        <w:gridCol w:w="709"/>
        <w:gridCol w:w="1275"/>
        <w:gridCol w:w="1193"/>
        <w:gridCol w:w="1193"/>
      </w:tblGrid>
      <w:tr w:rsidR="00DA4941" w:rsidRPr="00DA4941" w:rsidTr="00DA4941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4941" w:rsidRPr="00DA4941" w:rsidRDefault="00DA4941" w:rsidP="00DA4941">
            <w:pPr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DA4941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582 279,8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570 354,3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576 170,0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160 378,4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154 528,0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155 179,2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160 342,8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154 492,4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155 143,6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Средства резервного фонда 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414 718,6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411 694,9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416 859,4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394 464,1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384 937,0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388 959,2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68 207,3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59 110,8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44 689,1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67 793,9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59 110,8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44 689,1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67 793,9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59 110,8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44 689,1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Стипендии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обеспечение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"Точка роста"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создание и обеспечение функционирования центров образования естественн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"Точка роста"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6 267,9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3 233,1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2 117,8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3 233,1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4 104,2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автономным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Основные мероприятия "Развитие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системы оценки качества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Развитие системы оценки качества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95 956,0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82 117,3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79 184,6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61 879,1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49 034,6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Софинансирование субсидии на обеспечение развития и укрепления материально-технической базы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муниципальных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Премии и гранты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DA4941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A4941">
              <w:rPr>
                <w:color w:val="000000"/>
                <w:sz w:val="24"/>
                <w:szCs w:val="24"/>
              </w:rPr>
              <w:t>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Основное мероприятие (вне подпрограмм)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"Организация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A4941">
              <w:rPr>
                <w:color w:val="000000"/>
                <w:sz w:val="24"/>
                <w:szCs w:val="24"/>
              </w:rPr>
              <w:t>значимых мероприятий для детей и семей с детьми"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46 672,7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46 672,7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Дотации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DA4941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DA4941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работ.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"Социальная адаптация граждан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пожилого возраста"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Процентные платежи по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муниципальному долгу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Обслуживание государственного (муниципального) долга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74 282,6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74 282,6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детей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ост</w:t>
            </w:r>
            <w:r>
              <w:rPr>
                <w:color w:val="000000"/>
                <w:sz w:val="24"/>
                <w:szCs w:val="24"/>
              </w:rPr>
              <w:t>авшихся без попечения родителей</w:t>
            </w:r>
            <w:r w:rsidRPr="00DA4941">
              <w:rPr>
                <w:color w:val="000000"/>
                <w:sz w:val="24"/>
                <w:szCs w:val="24"/>
              </w:rPr>
              <w:t>,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41 742,2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Субвенции на проведение Всероссийской переписи населения 2020 года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(попечительством)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для осуществлени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DA4941">
              <w:rPr>
                <w:color w:val="000000"/>
                <w:sz w:val="24"/>
                <w:szCs w:val="24"/>
              </w:rPr>
              <w:t xml:space="preserve"> мер социальной поддержки по предоставлению компенсации расходов </w:t>
            </w:r>
            <w:r>
              <w:rPr>
                <w:color w:val="000000"/>
                <w:sz w:val="24"/>
                <w:szCs w:val="24"/>
              </w:rPr>
              <w:t>на оплату жилых помещений</w:t>
            </w:r>
            <w:r w:rsidRPr="00DA4941">
              <w:rPr>
                <w:color w:val="000000"/>
                <w:sz w:val="24"/>
                <w:szCs w:val="24"/>
              </w:rPr>
              <w:t>, отопления и освещения педагогическим работникам 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6 787,2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6 460,5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3 335,8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Текущий ремонт жилого помещения по адресу Смоленская область, г. Смоленск, пос.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37 889,1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37 889,1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37 800,3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Обеспечение содержания,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Оплата задолженности за потребляемую электроэнергию, в целях компенсации потерь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A4941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DA4941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DA4941">
              <w:rPr>
                <w:color w:val="000000"/>
                <w:sz w:val="24"/>
                <w:szCs w:val="24"/>
              </w:rPr>
              <w:t xml:space="preserve"> -2, ул. Заречная д. 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являющимся государственными (муниципальными)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79 739,5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79 739,5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DA4941">
              <w:rPr>
                <w:color w:val="000000"/>
                <w:sz w:val="24"/>
                <w:szCs w:val="24"/>
              </w:rPr>
              <w:t xml:space="preserve">деятельности законодательных органов местного самоуправления Смоленского района </w:t>
            </w:r>
            <w:r w:rsidRPr="00DA4941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59 650,3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59 597,8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50 533,6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50 533,6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8 957,5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8 957,5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lastRenderedPageBreak/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Обеспечение деятельности по прочим непрогра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DA4941">
              <w:rPr>
                <w:color w:val="000000"/>
                <w:sz w:val="24"/>
                <w:szCs w:val="24"/>
              </w:rPr>
              <w:t>мным мероприятиям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Финансирование прочих не программных мероприятий,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A4941">
              <w:rPr>
                <w:color w:val="000000"/>
                <w:sz w:val="24"/>
                <w:szCs w:val="24"/>
              </w:rPr>
              <w:t>оказание услуги по предоставлению специализированной гидрометеорологической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DA4941" w:rsidRPr="00DA4941" w:rsidTr="00DA4941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A4941" w:rsidRPr="00DA4941" w:rsidRDefault="00DA4941" w:rsidP="00DA494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DA4941" w:rsidRPr="00DA4941" w:rsidTr="00DA4941">
        <w:trPr>
          <w:trHeight w:val="20"/>
        </w:trPr>
        <w:tc>
          <w:tcPr>
            <w:tcW w:w="66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4941" w:rsidRPr="00DA4941" w:rsidRDefault="00DA4941" w:rsidP="00DA4941">
            <w:pPr>
              <w:ind w:left="-120" w:right="-108"/>
              <w:jc w:val="both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1 061 091,1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4941" w:rsidRPr="00DA4941" w:rsidRDefault="00DA4941" w:rsidP="00DA4941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DA4941">
              <w:rPr>
                <w:color w:val="000000"/>
                <w:sz w:val="24"/>
                <w:szCs w:val="24"/>
              </w:rPr>
              <w:t>1 015 565,2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B5637"/>
    <w:rsid w:val="00274CD2"/>
    <w:rsid w:val="0027719B"/>
    <w:rsid w:val="002F4951"/>
    <w:rsid w:val="00335404"/>
    <w:rsid w:val="0034244B"/>
    <w:rsid w:val="003829F8"/>
    <w:rsid w:val="00396C6A"/>
    <w:rsid w:val="003B4343"/>
    <w:rsid w:val="003B6EB7"/>
    <w:rsid w:val="00462193"/>
    <w:rsid w:val="004673A8"/>
    <w:rsid w:val="004A0F92"/>
    <w:rsid w:val="004B7B30"/>
    <w:rsid w:val="005C27E1"/>
    <w:rsid w:val="006113C0"/>
    <w:rsid w:val="006217A2"/>
    <w:rsid w:val="006E10D9"/>
    <w:rsid w:val="00702B9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4721D"/>
    <w:rsid w:val="00B7422C"/>
    <w:rsid w:val="00B90655"/>
    <w:rsid w:val="00C30938"/>
    <w:rsid w:val="00C45EA6"/>
    <w:rsid w:val="00C51317"/>
    <w:rsid w:val="00CC2874"/>
    <w:rsid w:val="00CE11F1"/>
    <w:rsid w:val="00D13513"/>
    <w:rsid w:val="00D63D32"/>
    <w:rsid w:val="00DA4941"/>
    <w:rsid w:val="00DC1DD2"/>
    <w:rsid w:val="00DC5627"/>
    <w:rsid w:val="00E424C5"/>
    <w:rsid w:val="00E537C1"/>
    <w:rsid w:val="00E57B27"/>
    <w:rsid w:val="00E86A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33</Pages>
  <Words>11207</Words>
  <Characters>63885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20</cp:revision>
  <dcterms:created xsi:type="dcterms:W3CDTF">2021-01-22T12:14:00Z</dcterms:created>
  <dcterms:modified xsi:type="dcterms:W3CDTF">2021-09-28T11:14:00Z</dcterms:modified>
</cp:coreProperties>
</file>