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120E23">
        <w:rPr>
          <w:rFonts w:ascii="Times New Roman" w:hAnsi="Times New Roman" w:cs="Times New Roman"/>
          <w:b/>
          <w:sz w:val="40"/>
          <w:szCs w:val="40"/>
        </w:rPr>
        <w:t>Сметанинского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120E23">
        <w:rPr>
          <w:rFonts w:ascii="Times New Roman" w:hAnsi="Times New Roman" w:cs="Times New Roman"/>
          <w:b/>
          <w:sz w:val="40"/>
          <w:szCs w:val="40"/>
        </w:rPr>
        <w:t>Сметанинского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EE4733"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97060F">
              <w:rPr>
                <w:noProof/>
                <w:webHidden/>
              </w:rPr>
              <w:t>10</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97060F">
              <w:rPr>
                <w:noProof/>
                <w:webHidden/>
              </w:rPr>
              <w:t>18</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97060F">
              <w:rPr>
                <w:noProof/>
                <w:webHidden/>
              </w:rPr>
              <w:t>23</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97060F">
              <w:rPr>
                <w:noProof/>
                <w:webHidden/>
              </w:rPr>
              <w:t>27</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97060F">
              <w:rPr>
                <w:noProof/>
                <w:webHidden/>
              </w:rPr>
              <w:t>35</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97060F">
              <w:rPr>
                <w:noProof/>
                <w:webHidden/>
              </w:rPr>
              <w:t>38</w:t>
            </w:r>
            <w:r w:rsidRPr="00F00A04">
              <w:rPr>
                <w:noProof/>
                <w:webHidden/>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97060F">
              <w:rPr>
                <w:noProof/>
                <w:webHidden/>
              </w:rPr>
              <w:t>77</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97060F">
              <w:rPr>
                <w:noProof/>
                <w:webHidden/>
              </w:rPr>
              <w:t>86</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97060F">
              <w:rPr>
                <w:noProof/>
                <w:webHidden/>
              </w:rPr>
              <w:t>88</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97060F">
              <w:rPr>
                <w:noProof/>
                <w:webHidden/>
              </w:rPr>
              <w:t>90</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97060F">
              <w:rPr>
                <w:noProof/>
                <w:webHidden/>
              </w:rPr>
              <w:t>91</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97060F">
              <w:rPr>
                <w:noProof/>
                <w:webHidden/>
              </w:rPr>
              <w:t>92</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97060F">
              <w:rPr>
                <w:noProof/>
                <w:webHidden/>
              </w:rPr>
              <w:t>105</w:t>
            </w:r>
            <w:r w:rsidRPr="00F00A04">
              <w:rPr>
                <w:noProof/>
                <w:webHidden/>
              </w:rPr>
              <w:fldChar w:fldCharType="end"/>
            </w:r>
          </w:hyperlink>
        </w:p>
        <w:p w:rsidR="00C677D0" w:rsidRPr="00F00A04" w:rsidRDefault="00EE4733"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97060F">
              <w:rPr>
                <w:noProof/>
                <w:webHidden/>
              </w:rPr>
              <w:t>121</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97060F">
              <w:rPr>
                <w:noProof/>
                <w:webHidden/>
              </w:rPr>
              <w:t>122</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97060F">
              <w:rPr>
                <w:noProof/>
                <w:webHidden/>
              </w:rPr>
              <w:t>123</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97060F">
              <w:rPr>
                <w:noProof/>
                <w:webHidden/>
              </w:rPr>
              <w:t>125</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97060F">
              <w:rPr>
                <w:noProof/>
                <w:webHidden/>
              </w:rPr>
              <w:t>127</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97060F">
              <w:rPr>
                <w:noProof/>
                <w:webHidden/>
              </w:rPr>
              <w:t>128</w:t>
            </w:r>
            <w:r w:rsidRPr="00F00A04">
              <w:rPr>
                <w:noProof/>
                <w:webHidden/>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97060F">
              <w:rPr>
                <w:noProof/>
                <w:webHidden/>
              </w:rPr>
              <w:t>132</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97060F">
              <w:rPr>
                <w:noProof/>
                <w:webHidden/>
              </w:rPr>
              <w:t>136</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97060F">
              <w:rPr>
                <w:noProof/>
                <w:webHidden/>
              </w:rPr>
              <w:t>137</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97060F">
              <w:rPr>
                <w:noProof/>
                <w:webHidden/>
              </w:rPr>
              <w:t>138</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97060F">
              <w:rPr>
                <w:noProof/>
                <w:webHidden/>
              </w:rPr>
              <w:t>138</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97060F">
              <w:rPr>
                <w:noProof/>
                <w:webHidden/>
              </w:rPr>
              <w:t>139</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97060F">
              <w:rPr>
                <w:noProof/>
                <w:webHidden/>
              </w:rPr>
              <w:t>141</w:t>
            </w:r>
            <w:r w:rsidRPr="00F00A04">
              <w:rPr>
                <w:noProof/>
                <w:webHidden/>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97060F">
              <w:rPr>
                <w:noProof/>
                <w:webHidden/>
              </w:rPr>
              <w:t>142</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97060F">
              <w:rPr>
                <w:noProof/>
                <w:webHidden/>
              </w:rPr>
              <w:t>143</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97060F">
              <w:rPr>
                <w:noProof/>
                <w:webHidden/>
              </w:rPr>
              <w:t>143</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97060F">
              <w:rPr>
                <w:noProof/>
                <w:webHidden/>
              </w:rPr>
              <w:t>143</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97060F">
              <w:rPr>
                <w:noProof/>
                <w:webHidden/>
              </w:rPr>
              <w:t>144</w:t>
            </w:r>
            <w:r w:rsidRPr="00F00A04">
              <w:rPr>
                <w:noProof/>
                <w:webHidden/>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97060F">
              <w:rPr>
                <w:noProof/>
                <w:webHidden/>
              </w:rPr>
              <w:t>148</w:t>
            </w:r>
            <w:r w:rsidRPr="00F00A04">
              <w:rPr>
                <w:noProof/>
                <w:webHidden/>
              </w:rPr>
              <w:fldChar w:fldCharType="end"/>
            </w:r>
          </w:hyperlink>
        </w:p>
        <w:p w:rsidR="00C677D0" w:rsidRPr="00F00A04" w:rsidRDefault="00EE4733"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97060F">
              <w:rPr>
                <w:noProof/>
                <w:webHidden/>
              </w:rPr>
              <w:t>157</w:t>
            </w:r>
            <w:r w:rsidRPr="00F00A04">
              <w:rPr>
                <w:noProof/>
                <w:webHidden/>
              </w:rPr>
              <w:fldChar w:fldCharType="end"/>
            </w:r>
          </w:hyperlink>
        </w:p>
        <w:p w:rsidR="00C677D0" w:rsidRPr="00F00A04" w:rsidRDefault="00EE4733"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EE4733"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97060F">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EE4733"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120E23">
        <w:rPr>
          <w:rFonts w:ascii="Times New Roman" w:hAnsi="Times New Roman" w:cs="Times New Roman"/>
          <w:sz w:val="28"/>
          <w:szCs w:val="28"/>
        </w:rPr>
        <w:t>Сметанинского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120E23">
        <w:rPr>
          <w:rFonts w:ascii="Times New Roman" w:eastAsia="Calibri" w:hAnsi="Times New Roman" w:cs="Times New Roman"/>
          <w:sz w:val="28"/>
          <w:szCs w:val="28"/>
        </w:rPr>
        <w:t>Сметанинское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120E23">
        <w:rPr>
          <w:rFonts w:ascii="Times New Roman" w:hAnsi="Times New Roman" w:cs="Times New Roman"/>
          <w:sz w:val="28"/>
          <w:szCs w:val="28"/>
        </w:rPr>
        <w:t>Сметанинского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120E23">
        <w:rPr>
          <w:sz w:val="28"/>
          <w:szCs w:val="28"/>
          <w:lang w:val="ru-RU"/>
        </w:rPr>
        <w:t>Сметанинского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4A7CF5">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120E23">
        <w:rPr>
          <w:sz w:val="28"/>
          <w:szCs w:val="28"/>
          <w:lang w:val="ru-RU"/>
        </w:rPr>
        <w:t>Сметанинского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площадь объектов рекреационного назначения, размещаемых на территориях общего пользования </w:t>
      </w:r>
      <w:r w:rsidRPr="00F00A04">
        <w:rPr>
          <w:sz w:val="28"/>
          <w:szCs w:val="28"/>
          <w:lang w:val="ru-RU"/>
        </w:rPr>
        <w:lastRenderedPageBreak/>
        <w:t>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Минимальный расчетный показатель площади территорий речных и озерных пляжей следует принимать из расчета 5 кв. </w:t>
      </w:r>
      <w:r w:rsidRPr="00F00A04">
        <w:rPr>
          <w:sz w:val="28"/>
          <w:szCs w:val="28"/>
          <w:lang w:val="ru-RU"/>
        </w:rPr>
        <w:lastRenderedPageBreak/>
        <w:t>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A63056" w:rsidRDefault="00A63056"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EE4733">
              <w:rPr>
                <w:rFonts w:ascii="Times New Roman" w:hAnsi="Times New Roman" w:cs="Times New Roman"/>
                <w:noProof/>
                <w:sz w:val="28"/>
                <w:szCs w:val="28"/>
              </w:rPr>
            </w:r>
            <w:r w:rsidR="00EE4733" w:rsidRPr="00EE4733">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EE4733" w:rsidRPr="00EE4733">
              <w:rPr>
                <w:rFonts w:ascii="Times New Roman" w:hAnsi="Times New Roman" w:cs="Times New Roman"/>
                <w:noProof/>
                <w:sz w:val="28"/>
                <w:szCs w:val="28"/>
              </w:rPr>
            </w:r>
            <w:r w:rsidR="00EE4733" w:rsidRPr="00EE4733">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EE4733"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EE4733"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120E23" w:rsidRPr="002370CC" w:rsidRDefault="00120E23" w:rsidP="00120E23">
      <w:pPr>
        <w:spacing w:line="240" w:lineRule="auto"/>
        <w:ind w:firstLine="709"/>
        <w:contextualSpacing/>
        <w:jc w:val="both"/>
        <w:rPr>
          <w:rFonts w:ascii="Times New Roman" w:eastAsia="Times New Roman" w:hAnsi="Times New Roman" w:cs="Times New Roman"/>
          <w:sz w:val="28"/>
          <w:szCs w:val="28"/>
        </w:rPr>
      </w:pPr>
      <w:r w:rsidRPr="002370CC">
        <w:rPr>
          <w:rFonts w:ascii="Times New Roman" w:eastAsia="Times New Roman" w:hAnsi="Times New Roman" w:cs="Times New Roman"/>
          <w:sz w:val="28"/>
          <w:szCs w:val="28"/>
        </w:rPr>
        <w:t xml:space="preserve">Территория </w:t>
      </w:r>
      <w:proofErr w:type="spellStart"/>
      <w:r w:rsidRPr="002370CC">
        <w:rPr>
          <w:rFonts w:ascii="Times New Roman" w:eastAsia="Times New Roman" w:hAnsi="Times New Roman" w:cs="Times New Roman"/>
          <w:sz w:val="28"/>
          <w:szCs w:val="28"/>
        </w:rPr>
        <w:t>Сметанинского</w:t>
      </w:r>
      <w:proofErr w:type="spellEnd"/>
      <w:r w:rsidRPr="002370CC">
        <w:rPr>
          <w:rFonts w:ascii="Times New Roman" w:eastAsia="Times New Roman" w:hAnsi="Times New Roman" w:cs="Times New Roman"/>
          <w:sz w:val="28"/>
          <w:szCs w:val="28"/>
        </w:rPr>
        <w:t xml:space="preserve"> сельского поселения расположена в западной части Смоленского района и имеет смежные границы:</w:t>
      </w:r>
    </w:p>
    <w:p w:rsidR="00120E23" w:rsidRPr="002370CC" w:rsidRDefault="00120E23" w:rsidP="00120E23">
      <w:pPr>
        <w:spacing w:line="240" w:lineRule="auto"/>
        <w:ind w:firstLine="709"/>
        <w:contextualSpacing/>
        <w:jc w:val="both"/>
        <w:rPr>
          <w:rFonts w:ascii="Times New Roman" w:eastAsia="Times New Roman" w:hAnsi="Times New Roman" w:cs="Times New Roman"/>
          <w:sz w:val="28"/>
          <w:szCs w:val="28"/>
        </w:rPr>
      </w:pPr>
      <w:r w:rsidRPr="002370CC">
        <w:rPr>
          <w:rFonts w:ascii="Times New Roman" w:eastAsia="Times New Roman" w:hAnsi="Times New Roman" w:cs="Times New Roman"/>
          <w:sz w:val="28"/>
          <w:szCs w:val="28"/>
        </w:rPr>
        <w:t xml:space="preserve">- на востоке - с </w:t>
      </w:r>
      <w:proofErr w:type="spellStart"/>
      <w:r w:rsidRPr="002370CC">
        <w:rPr>
          <w:rFonts w:ascii="Times New Roman" w:eastAsia="Times New Roman" w:hAnsi="Times New Roman" w:cs="Times New Roman"/>
          <w:sz w:val="28"/>
          <w:szCs w:val="28"/>
        </w:rPr>
        <w:t>Гнездовским</w:t>
      </w:r>
      <w:proofErr w:type="spellEnd"/>
      <w:r w:rsidRPr="002370CC">
        <w:rPr>
          <w:rFonts w:ascii="Times New Roman" w:eastAsia="Times New Roman" w:hAnsi="Times New Roman" w:cs="Times New Roman"/>
          <w:sz w:val="28"/>
          <w:szCs w:val="28"/>
        </w:rPr>
        <w:t xml:space="preserve"> сельским поселением;</w:t>
      </w:r>
    </w:p>
    <w:p w:rsidR="00120E23" w:rsidRPr="002370CC" w:rsidRDefault="00120E23" w:rsidP="00120E23">
      <w:pPr>
        <w:spacing w:line="240" w:lineRule="auto"/>
        <w:ind w:firstLine="709"/>
        <w:contextualSpacing/>
        <w:jc w:val="both"/>
        <w:rPr>
          <w:rFonts w:ascii="Times New Roman" w:eastAsia="Times New Roman" w:hAnsi="Times New Roman" w:cs="Times New Roman"/>
          <w:sz w:val="28"/>
          <w:szCs w:val="28"/>
        </w:rPr>
      </w:pPr>
      <w:r w:rsidRPr="002370CC">
        <w:rPr>
          <w:rFonts w:ascii="Times New Roman" w:eastAsia="Times New Roman" w:hAnsi="Times New Roman" w:cs="Times New Roman"/>
          <w:sz w:val="28"/>
          <w:szCs w:val="28"/>
        </w:rPr>
        <w:t xml:space="preserve">- на юге и юго-востоке - с </w:t>
      </w:r>
      <w:proofErr w:type="spellStart"/>
      <w:r w:rsidRPr="002370CC">
        <w:rPr>
          <w:rFonts w:ascii="Times New Roman" w:eastAsia="Times New Roman" w:hAnsi="Times New Roman" w:cs="Times New Roman"/>
          <w:sz w:val="28"/>
          <w:szCs w:val="28"/>
        </w:rPr>
        <w:t>Катынским</w:t>
      </w:r>
      <w:proofErr w:type="spellEnd"/>
      <w:r w:rsidRPr="002370CC">
        <w:rPr>
          <w:rFonts w:ascii="Times New Roman" w:eastAsia="Times New Roman" w:hAnsi="Times New Roman" w:cs="Times New Roman"/>
          <w:sz w:val="28"/>
          <w:szCs w:val="28"/>
        </w:rPr>
        <w:t xml:space="preserve"> сельским поселением;</w:t>
      </w:r>
    </w:p>
    <w:p w:rsidR="00120E23" w:rsidRPr="002370CC" w:rsidRDefault="00120E23" w:rsidP="00120E23">
      <w:pPr>
        <w:spacing w:line="240" w:lineRule="auto"/>
        <w:ind w:firstLine="709"/>
        <w:contextualSpacing/>
        <w:jc w:val="both"/>
        <w:rPr>
          <w:rFonts w:ascii="Times New Roman" w:eastAsia="Times New Roman" w:hAnsi="Times New Roman" w:cs="Times New Roman"/>
          <w:sz w:val="28"/>
          <w:szCs w:val="28"/>
        </w:rPr>
      </w:pPr>
      <w:r w:rsidRPr="002370CC">
        <w:rPr>
          <w:rFonts w:ascii="Times New Roman" w:eastAsia="Times New Roman" w:hAnsi="Times New Roman" w:cs="Times New Roman"/>
          <w:sz w:val="28"/>
          <w:szCs w:val="28"/>
        </w:rPr>
        <w:t xml:space="preserve">- на западе - с </w:t>
      </w:r>
      <w:proofErr w:type="spellStart"/>
      <w:r w:rsidRPr="002370CC">
        <w:rPr>
          <w:rFonts w:ascii="Times New Roman" w:eastAsia="Times New Roman" w:hAnsi="Times New Roman" w:cs="Times New Roman"/>
          <w:sz w:val="28"/>
          <w:szCs w:val="28"/>
        </w:rPr>
        <w:t>Руднянским</w:t>
      </w:r>
      <w:proofErr w:type="spellEnd"/>
      <w:r w:rsidRPr="002370CC">
        <w:rPr>
          <w:rFonts w:ascii="Times New Roman" w:eastAsia="Times New Roman" w:hAnsi="Times New Roman" w:cs="Times New Roman"/>
          <w:sz w:val="28"/>
          <w:szCs w:val="28"/>
        </w:rPr>
        <w:t xml:space="preserve"> и </w:t>
      </w:r>
      <w:proofErr w:type="spellStart"/>
      <w:r w:rsidRPr="002370CC">
        <w:rPr>
          <w:rFonts w:ascii="Times New Roman" w:eastAsia="Times New Roman" w:hAnsi="Times New Roman" w:cs="Times New Roman"/>
          <w:sz w:val="28"/>
          <w:szCs w:val="28"/>
        </w:rPr>
        <w:t>Краснинским</w:t>
      </w:r>
      <w:proofErr w:type="spellEnd"/>
      <w:r w:rsidRPr="002370CC">
        <w:rPr>
          <w:rFonts w:ascii="Times New Roman" w:eastAsia="Times New Roman" w:hAnsi="Times New Roman" w:cs="Times New Roman"/>
          <w:sz w:val="28"/>
          <w:szCs w:val="28"/>
        </w:rPr>
        <w:t xml:space="preserve"> муниципальным районом;</w:t>
      </w:r>
    </w:p>
    <w:p w:rsidR="00120E23" w:rsidRPr="002370CC" w:rsidRDefault="00120E23" w:rsidP="00120E23">
      <w:pPr>
        <w:spacing w:line="240" w:lineRule="auto"/>
        <w:ind w:firstLine="709"/>
        <w:contextualSpacing/>
        <w:jc w:val="both"/>
        <w:rPr>
          <w:rFonts w:ascii="Times New Roman" w:eastAsia="Times New Roman" w:hAnsi="Times New Roman" w:cs="Times New Roman"/>
          <w:sz w:val="28"/>
          <w:szCs w:val="28"/>
        </w:rPr>
      </w:pPr>
      <w:r w:rsidRPr="002370CC">
        <w:rPr>
          <w:rFonts w:ascii="Times New Roman" w:eastAsia="Times New Roman" w:hAnsi="Times New Roman" w:cs="Times New Roman"/>
          <w:sz w:val="28"/>
          <w:szCs w:val="28"/>
        </w:rPr>
        <w:t xml:space="preserve">- на севере - с </w:t>
      </w:r>
      <w:proofErr w:type="spellStart"/>
      <w:r w:rsidRPr="002370CC">
        <w:rPr>
          <w:rFonts w:ascii="Times New Roman" w:eastAsia="Times New Roman" w:hAnsi="Times New Roman" w:cs="Times New Roman"/>
          <w:sz w:val="28"/>
          <w:szCs w:val="28"/>
        </w:rPr>
        <w:t>Волоковским</w:t>
      </w:r>
      <w:proofErr w:type="spellEnd"/>
      <w:r w:rsidRPr="002370CC">
        <w:rPr>
          <w:rFonts w:ascii="Times New Roman" w:eastAsia="Times New Roman" w:hAnsi="Times New Roman" w:cs="Times New Roman"/>
          <w:sz w:val="28"/>
          <w:szCs w:val="28"/>
        </w:rPr>
        <w:t xml:space="preserve"> сельским поселением;</w:t>
      </w:r>
    </w:p>
    <w:p w:rsidR="00120E23" w:rsidRPr="002370CC" w:rsidRDefault="00120E23" w:rsidP="00120E23">
      <w:pPr>
        <w:spacing w:line="240" w:lineRule="auto"/>
        <w:ind w:firstLine="709"/>
        <w:contextualSpacing/>
        <w:jc w:val="both"/>
        <w:rPr>
          <w:rFonts w:ascii="Times New Roman" w:eastAsia="Times New Roman" w:hAnsi="Times New Roman" w:cs="Times New Roman"/>
          <w:sz w:val="28"/>
          <w:szCs w:val="28"/>
        </w:rPr>
      </w:pPr>
      <w:r w:rsidRPr="002370CC">
        <w:rPr>
          <w:rFonts w:ascii="Times New Roman" w:eastAsia="Times New Roman" w:hAnsi="Times New Roman" w:cs="Times New Roman"/>
          <w:sz w:val="28"/>
          <w:szCs w:val="28"/>
        </w:rPr>
        <w:t xml:space="preserve">Границы </w:t>
      </w:r>
      <w:proofErr w:type="spellStart"/>
      <w:r w:rsidRPr="002370CC">
        <w:rPr>
          <w:rFonts w:ascii="Times New Roman" w:eastAsia="Times New Roman" w:hAnsi="Times New Roman" w:cs="Times New Roman"/>
          <w:sz w:val="28"/>
          <w:szCs w:val="28"/>
        </w:rPr>
        <w:t>Сметанинского</w:t>
      </w:r>
      <w:proofErr w:type="spellEnd"/>
      <w:r w:rsidRPr="002370CC">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2370CC">
          <w:rPr>
            <w:rFonts w:ascii="Times New Roman" w:eastAsia="Times New Roman" w:hAnsi="Times New Roman" w:cs="Times New Roman"/>
            <w:sz w:val="28"/>
            <w:szCs w:val="28"/>
          </w:rPr>
          <w:t>2004 г</w:t>
        </w:r>
      </w:smartTag>
      <w:r w:rsidRPr="002370CC">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120E23" w:rsidRPr="002370CC" w:rsidRDefault="00120E23" w:rsidP="00120E23">
      <w:pPr>
        <w:spacing w:line="240" w:lineRule="auto"/>
        <w:ind w:firstLine="709"/>
        <w:contextualSpacing/>
        <w:jc w:val="both"/>
        <w:rPr>
          <w:rFonts w:ascii="Times New Roman" w:eastAsia="Times New Roman" w:hAnsi="Times New Roman" w:cs="Times New Roman"/>
          <w:sz w:val="28"/>
          <w:szCs w:val="28"/>
        </w:rPr>
      </w:pPr>
      <w:proofErr w:type="gramStart"/>
      <w:r w:rsidRPr="002370CC">
        <w:rPr>
          <w:rFonts w:ascii="Times New Roman" w:eastAsia="Times New Roman" w:hAnsi="Times New Roman" w:cs="Times New Roman"/>
          <w:sz w:val="28"/>
          <w:szCs w:val="28"/>
        </w:rPr>
        <w:t xml:space="preserve">В состав </w:t>
      </w:r>
      <w:proofErr w:type="spellStart"/>
      <w:r w:rsidRPr="002370CC">
        <w:rPr>
          <w:rFonts w:ascii="Times New Roman" w:eastAsia="Times New Roman" w:hAnsi="Times New Roman" w:cs="Times New Roman"/>
          <w:sz w:val="28"/>
          <w:szCs w:val="28"/>
        </w:rPr>
        <w:t>Сметанинского</w:t>
      </w:r>
      <w:proofErr w:type="spellEnd"/>
      <w:r w:rsidRPr="002370CC">
        <w:rPr>
          <w:rFonts w:ascii="Times New Roman" w:eastAsia="Times New Roman" w:hAnsi="Times New Roman" w:cs="Times New Roman"/>
          <w:sz w:val="28"/>
          <w:szCs w:val="28"/>
        </w:rPr>
        <w:t xml:space="preserve"> сельского поселения входит 21 населённых пункт: деревня Сметанино,  деревня  Архиповка, деревня </w:t>
      </w:r>
      <w:proofErr w:type="spellStart"/>
      <w:r w:rsidRPr="002370CC">
        <w:rPr>
          <w:rFonts w:ascii="Times New Roman" w:eastAsia="Times New Roman" w:hAnsi="Times New Roman" w:cs="Times New Roman"/>
          <w:sz w:val="28"/>
          <w:szCs w:val="28"/>
        </w:rPr>
        <w:t>Велино</w:t>
      </w:r>
      <w:proofErr w:type="spellEnd"/>
      <w:r w:rsidRPr="002370CC">
        <w:rPr>
          <w:rFonts w:ascii="Times New Roman" w:eastAsia="Times New Roman" w:hAnsi="Times New Roman" w:cs="Times New Roman"/>
          <w:sz w:val="28"/>
          <w:szCs w:val="28"/>
        </w:rPr>
        <w:t xml:space="preserve">, станция </w:t>
      </w:r>
      <w:proofErr w:type="spellStart"/>
      <w:r w:rsidRPr="002370CC">
        <w:rPr>
          <w:rFonts w:ascii="Times New Roman" w:eastAsia="Times New Roman" w:hAnsi="Times New Roman" w:cs="Times New Roman"/>
          <w:sz w:val="28"/>
          <w:szCs w:val="28"/>
        </w:rPr>
        <w:t>Велино</w:t>
      </w:r>
      <w:proofErr w:type="spellEnd"/>
      <w:r w:rsidRPr="002370CC">
        <w:rPr>
          <w:rFonts w:ascii="Times New Roman" w:eastAsia="Times New Roman" w:hAnsi="Times New Roman" w:cs="Times New Roman"/>
          <w:sz w:val="28"/>
          <w:szCs w:val="28"/>
        </w:rPr>
        <w:t xml:space="preserve">, деревня Дубровка, деревня </w:t>
      </w:r>
      <w:proofErr w:type="spellStart"/>
      <w:r w:rsidRPr="002370CC">
        <w:rPr>
          <w:rFonts w:ascii="Times New Roman" w:eastAsia="Times New Roman" w:hAnsi="Times New Roman" w:cs="Times New Roman"/>
          <w:sz w:val="28"/>
          <w:szCs w:val="28"/>
        </w:rPr>
        <w:t>Зеньково</w:t>
      </w:r>
      <w:proofErr w:type="spellEnd"/>
      <w:r w:rsidRPr="002370CC">
        <w:rPr>
          <w:rFonts w:ascii="Times New Roman" w:eastAsia="Times New Roman" w:hAnsi="Times New Roman" w:cs="Times New Roman"/>
          <w:sz w:val="28"/>
          <w:szCs w:val="28"/>
        </w:rPr>
        <w:t xml:space="preserve">, деревня </w:t>
      </w:r>
      <w:proofErr w:type="spellStart"/>
      <w:r w:rsidRPr="002370CC">
        <w:rPr>
          <w:rFonts w:ascii="Times New Roman" w:eastAsia="Times New Roman" w:hAnsi="Times New Roman" w:cs="Times New Roman"/>
          <w:sz w:val="28"/>
          <w:szCs w:val="28"/>
        </w:rPr>
        <w:t>Исаково</w:t>
      </w:r>
      <w:proofErr w:type="spellEnd"/>
      <w:r w:rsidRPr="002370CC">
        <w:rPr>
          <w:rFonts w:ascii="Times New Roman" w:eastAsia="Times New Roman" w:hAnsi="Times New Roman" w:cs="Times New Roman"/>
          <w:sz w:val="28"/>
          <w:szCs w:val="28"/>
        </w:rPr>
        <w:t xml:space="preserve">, деревня </w:t>
      </w:r>
      <w:proofErr w:type="spellStart"/>
      <w:r w:rsidRPr="002370CC">
        <w:rPr>
          <w:rFonts w:ascii="Times New Roman" w:eastAsia="Times New Roman" w:hAnsi="Times New Roman" w:cs="Times New Roman"/>
          <w:sz w:val="28"/>
          <w:szCs w:val="28"/>
        </w:rPr>
        <w:t>Криснево</w:t>
      </w:r>
      <w:proofErr w:type="spellEnd"/>
      <w:r w:rsidRPr="002370CC">
        <w:rPr>
          <w:rFonts w:ascii="Times New Roman" w:eastAsia="Times New Roman" w:hAnsi="Times New Roman" w:cs="Times New Roman"/>
          <w:sz w:val="28"/>
          <w:szCs w:val="28"/>
        </w:rPr>
        <w:t xml:space="preserve">, деревня </w:t>
      </w:r>
      <w:proofErr w:type="spellStart"/>
      <w:r w:rsidRPr="002370CC">
        <w:rPr>
          <w:rFonts w:ascii="Times New Roman" w:eastAsia="Times New Roman" w:hAnsi="Times New Roman" w:cs="Times New Roman"/>
          <w:sz w:val="28"/>
          <w:szCs w:val="28"/>
        </w:rPr>
        <w:t>Лясковка</w:t>
      </w:r>
      <w:proofErr w:type="spellEnd"/>
      <w:r w:rsidRPr="002370CC">
        <w:rPr>
          <w:rFonts w:ascii="Times New Roman" w:eastAsia="Times New Roman" w:hAnsi="Times New Roman" w:cs="Times New Roman"/>
          <w:sz w:val="28"/>
          <w:szCs w:val="28"/>
        </w:rPr>
        <w:t xml:space="preserve">, деревня </w:t>
      </w:r>
      <w:proofErr w:type="spellStart"/>
      <w:r w:rsidRPr="002370CC">
        <w:rPr>
          <w:rFonts w:ascii="Times New Roman" w:eastAsia="Times New Roman" w:hAnsi="Times New Roman" w:cs="Times New Roman"/>
          <w:sz w:val="28"/>
          <w:szCs w:val="28"/>
        </w:rPr>
        <w:t>Лосево</w:t>
      </w:r>
      <w:proofErr w:type="spellEnd"/>
      <w:r w:rsidRPr="002370CC">
        <w:rPr>
          <w:rFonts w:ascii="Times New Roman" w:eastAsia="Times New Roman" w:hAnsi="Times New Roman" w:cs="Times New Roman"/>
          <w:sz w:val="28"/>
          <w:szCs w:val="28"/>
        </w:rPr>
        <w:t xml:space="preserve">, деревня Мирское, деревня Никулино, деревня Новоселки, деревня </w:t>
      </w:r>
      <w:proofErr w:type="spellStart"/>
      <w:r w:rsidRPr="002370CC">
        <w:rPr>
          <w:rFonts w:ascii="Times New Roman" w:eastAsia="Times New Roman" w:hAnsi="Times New Roman" w:cs="Times New Roman"/>
          <w:sz w:val="28"/>
          <w:szCs w:val="28"/>
        </w:rPr>
        <w:t>Почаево</w:t>
      </w:r>
      <w:proofErr w:type="spellEnd"/>
      <w:r w:rsidRPr="002370CC">
        <w:rPr>
          <w:rFonts w:ascii="Times New Roman" w:eastAsia="Times New Roman" w:hAnsi="Times New Roman" w:cs="Times New Roman"/>
          <w:sz w:val="28"/>
          <w:szCs w:val="28"/>
        </w:rPr>
        <w:t xml:space="preserve">, деревня </w:t>
      </w:r>
      <w:proofErr w:type="spellStart"/>
      <w:r w:rsidRPr="002370CC">
        <w:rPr>
          <w:rFonts w:ascii="Times New Roman" w:eastAsia="Times New Roman" w:hAnsi="Times New Roman" w:cs="Times New Roman"/>
          <w:sz w:val="28"/>
          <w:szCs w:val="28"/>
        </w:rPr>
        <w:t>Рябики</w:t>
      </w:r>
      <w:proofErr w:type="spellEnd"/>
      <w:r w:rsidRPr="002370CC">
        <w:rPr>
          <w:rFonts w:ascii="Times New Roman" w:eastAsia="Times New Roman" w:hAnsi="Times New Roman" w:cs="Times New Roman"/>
          <w:sz w:val="28"/>
          <w:szCs w:val="28"/>
        </w:rPr>
        <w:t xml:space="preserve">, деревня </w:t>
      </w:r>
      <w:proofErr w:type="spellStart"/>
      <w:r w:rsidRPr="002370CC">
        <w:rPr>
          <w:rFonts w:ascii="Times New Roman" w:eastAsia="Times New Roman" w:hAnsi="Times New Roman" w:cs="Times New Roman"/>
          <w:sz w:val="28"/>
          <w:szCs w:val="28"/>
        </w:rPr>
        <w:t>Светицы</w:t>
      </w:r>
      <w:proofErr w:type="spellEnd"/>
      <w:r w:rsidRPr="002370CC">
        <w:rPr>
          <w:rFonts w:ascii="Times New Roman" w:eastAsia="Times New Roman" w:hAnsi="Times New Roman" w:cs="Times New Roman"/>
          <w:sz w:val="28"/>
          <w:szCs w:val="28"/>
        </w:rPr>
        <w:t xml:space="preserve">, деревня </w:t>
      </w:r>
      <w:proofErr w:type="spellStart"/>
      <w:r w:rsidRPr="002370CC">
        <w:rPr>
          <w:rFonts w:ascii="Times New Roman" w:eastAsia="Times New Roman" w:hAnsi="Times New Roman" w:cs="Times New Roman"/>
          <w:sz w:val="28"/>
          <w:szCs w:val="28"/>
        </w:rPr>
        <w:t>Светицкое</w:t>
      </w:r>
      <w:proofErr w:type="spellEnd"/>
      <w:r w:rsidRPr="002370CC">
        <w:rPr>
          <w:rFonts w:ascii="Times New Roman" w:eastAsia="Times New Roman" w:hAnsi="Times New Roman" w:cs="Times New Roman"/>
          <w:sz w:val="28"/>
          <w:szCs w:val="28"/>
        </w:rPr>
        <w:t xml:space="preserve"> Урочище, деревня </w:t>
      </w:r>
      <w:proofErr w:type="spellStart"/>
      <w:r w:rsidRPr="002370CC">
        <w:rPr>
          <w:rFonts w:ascii="Times New Roman" w:eastAsia="Times New Roman" w:hAnsi="Times New Roman" w:cs="Times New Roman"/>
          <w:sz w:val="28"/>
          <w:szCs w:val="28"/>
        </w:rPr>
        <w:t>Савенки</w:t>
      </w:r>
      <w:proofErr w:type="spellEnd"/>
      <w:r w:rsidRPr="002370CC">
        <w:rPr>
          <w:rFonts w:ascii="Times New Roman" w:eastAsia="Times New Roman" w:hAnsi="Times New Roman" w:cs="Times New Roman"/>
          <w:sz w:val="28"/>
          <w:szCs w:val="28"/>
        </w:rPr>
        <w:t xml:space="preserve">, деревня </w:t>
      </w:r>
      <w:proofErr w:type="spellStart"/>
      <w:r w:rsidRPr="002370CC">
        <w:rPr>
          <w:rFonts w:ascii="Times New Roman" w:eastAsia="Times New Roman" w:hAnsi="Times New Roman" w:cs="Times New Roman"/>
          <w:sz w:val="28"/>
          <w:szCs w:val="28"/>
        </w:rPr>
        <w:t>Тверитино</w:t>
      </w:r>
      <w:proofErr w:type="spellEnd"/>
      <w:r w:rsidRPr="002370CC">
        <w:rPr>
          <w:rFonts w:ascii="Times New Roman" w:eastAsia="Times New Roman" w:hAnsi="Times New Roman" w:cs="Times New Roman"/>
          <w:sz w:val="28"/>
          <w:szCs w:val="28"/>
        </w:rPr>
        <w:t xml:space="preserve">, деревня Тишино, деревня Фролы. </w:t>
      </w:r>
      <w:proofErr w:type="gramEnd"/>
    </w:p>
    <w:p w:rsidR="00120E23" w:rsidRPr="00EC762A" w:rsidRDefault="00120E23" w:rsidP="00120E23">
      <w:pPr>
        <w:spacing w:line="240" w:lineRule="auto"/>
        <w:ind w:firstLine="709"/>
        <w:contextualSpacing/>
        <w:jc w:val="both"/>
        <w:rPr>
          <w:rFonts w:ascii="Times New Roman" w:eastAsia="Times New Roman" w:hAnsi="Times New Roman" w:cs="Times New Roman"/>
          <w:sz w:val="28"/>
          <w:szCs w:val="28"/>
        </w:rPr>
      </w:pPr>
      <w:r w:rsidRPr="002370CC">
        <w:rPr>
          <w:rFonts w:ascii="Times New Roman" w:eastAsia="Times New Roman" w:hAnsi="Times New Roman" w:cs="Times New Roman"/>
          <w:sz w:val="28"/>
          <w:szCs w:val="28"/>
        </w:rPr>
        <w:t xml:space="preserve">Административным центром </w:t>
      </w:r>
      <w:proofErr w:type="spellStart"/>
      <w:r w:rsidRPr="002370CC">
        <w:rPr>
          <w:rFonts w:ascii="Times New Roman" w:eastAsia="Times New Roman" w:hAnsi="Times New Roman" w:cs="Times New Roman"/>
          <w:sz w:val="28"/>
          <w:szCs w:val="28"/>
        </w:rPr>
        <w:t>Сметанинского</w:t>
      </w:r>
      <w:proofErr w:type="spellEnd"/>
      <w:r w:rsidRPr="002370CC">
        <w:rPr>
          <w:rFonts w:ascii="Times New Roman" w:eastAsia="Times New Roman" w:hAnsi="Times New Roman" w:cs="Times New Roman"/>
          <w:sz w:val="28"/>
          <w:szCs w:val="28"/>
        </w:rPr>
        <w:t xml:space="preserve"> сельского поселения является деревня Сметанино. Населенный пункт расположен в 23 км к западу от </w:t>
      </w:r>
      <w:r>
        <w:rPr>
          <w:rFonts w:ascii="Times New Roman" w:eastAsia="Times New Roman" w:hAnsi="Times New Roman" w:cs="Times New Roman"/>
          <w:sz w:val="28"/>
          <w:szCs w:val="28"/>
        </w:rPr>
        <w:t xml:space="preserve">                            </w:t>
      </w:r>
      <w:r w:rsidRPr="002370CC">
        <w:rPr>
          <w:rFonts w:ascii="Times New Roman" w:eastAsia="Times New Roman" w:hAnsi="Times New Roman" w:cs="Times New Roman"/>
          <w:sz w:val="28"/>
          <w:szCs w:val="28"/>
        </w:rPr>
        <w:t>г. Смоленска</w:t>
      </w:r>
      <w:r w:rsidRPr="00EC762A">
        <w:rPr>
          <w:rFonts w:ascii="Times New Roman" w:eastAsia="Times New Roman" w:hAnsi="Times New Roman" w:cs="Times New Roman"/>
          <w:sz w:val="28"/>
          <w:szCs w:val="28"/>
        </w:rPr>
        <w:t xml:space="preserve">. </w:t>
      </w:r>
    </w:p>
    <w:p w:rsidR="00622433" w:rsidRDefault="00622433"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Pr="00F00A04" w:rsidRDefault="00586CC7"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120E23">
        <w:rPr>
          <w:sz w:val="28"/>
          <w:szCs w:val="28"/>
        </w:rPr>
        <w:t>Сметанинского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Default="0077787F"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Pr="00F00A04" w:rsidRDefault="00586CC7"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120E23">
        <w:rPr>
          <w:sz w:val="28"/>
          <w:szCs w:val="28"/>
        </w:rPr>
        <w:t>Сметанинского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4A7CF5">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lastRenderedPageBreak/>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lastRenderedPageBreak/>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586CC7" w:rsidRPr="00F00A04" w:rsidRDefault="00586CC7"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074E57" w:rsidRPr="00F00A04" w:rsidRDefault="00074E5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120E23">
        <w:rPr>
          <w:sz w:val="28"/>
          <w:szCs w:val="28"/>
        </w:rPr>
        <w:t>Сметанинского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120E23">
        <w:rPr>
          <w:sz w:val="28"/>
          <w:szCs w:val="28"/>
        </w:rPr>
        <w:t>Сметанинского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сельского поселения объектами местного значения в области </w:t>
      </w:r>
      <w:r w:rsidRPr="00F00A04">
        <w:rPr>
          <w:sz w:val="28"/>
          <w:szCs w:val="28"/>
        </w:rPr>
        <w:lastRenderedPageBreak/>
        <w:t>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lastRenderedPageBreak/>
        <w:t xml:space="preserve">МНГП </w:t>
      </w:r>
      <w:proofErr w:type="spellStart"/>
      <w:r w:rsidR="00120E23">
        <w:rPr>
          <w:sz w:val="28"/>
          <w:szCs w:val="28"/>
        </w:rPr>
        <w:t>Сметанинского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lastRenderedPageBreak/>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120E23">
        <w:rPr>
          <w:sz w:val="28"/>
          <w:szCs w:val="28"/>
        </w:rPr>
        <w:t>Сметанинского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120E23">
        <w:rPr>
          <w:sz w:val="28"/>
          <w:szCs w:val="28"/>
        </w:rPr>
        <w:t>Сметанинского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120E23">
        <w:rPr>
          <w:sz w:val="28"/>
          <w:szCs w:val="28"/>
        </w:rPr>
        <w:t>Сметанинскому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120E23">
        <w:rPr>
          <w:sz w:val="28"/>
          <w:szCs w:val="28"/>
        </w:rPr>
        <w:t>Сметанинскому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120E23">
        <w:rPr>
          <w:sz w:val="28"/>
          <w:szCs w:val="28"/>
        </w:rPr>
        <w:t>Сметанинского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120E23">
        <w:rPr>
          <w:sz w:val="28"/>
          <w:szCs w:val="28"/>
        </w:rPr>
        <w:t>Сметанинского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120E23">
        <w:rPr>
          <w:rFonts w:ascii="Times New Roman" w:hAnsi="Times New Roman" w:cs="Times New Roman"/>
          <w:sz w:val="28"/>
          <w:szCs w:val="28"/>
        </w:rPr>
        <w:t>Сметанинского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120E23">
        <w:rPr>
          <w:rFonts w:ascii="Times New Roman" w:hAnsi="Times New Roman" w:cs="Times New Roman"/>
          <w:sz w:val="28"/>
          <w:szCs w:val="28"/>
        </w:rPr>
        <w:t>Сметанинского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120E23">
        <w:rPr>
          <w:rFonts w:ascii="Times New Roman" w:hAnsi="Times New Roman" w:cs="Times New Roman"/>
          <w:sz w:val="28"/>
          <w:szCs w:val="28"/>
        </w:rPr>
        <w:t>Сметанинского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120E23">
        <w:rPr>
          <w:rFonts w:ascii="Times New Roman" w:hAnsi="Times New Roman" w:cs="Times New Roman"/>
          <w:sz w:val="28"/>
          <w:szCs w:val="28"/>
        </w:rPr>
        <w:t>Сметанинского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120E23">
        <w:rPr>
          <w:rFonts w:ascii="Times New Roman" w:hAnsi="Times New Roman" w:cs="Times New Roman"/>
          <w:sz w:val="28"/>
          <w:szCs w:val="28"/>
        </w:rPr>
        <w:t>Сметанинского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120E23">
        <w:rPr>
          <w:rFonts w:ascii="Times New Roman" w:hAnsi="Times New Roman" w:cs="Times New Roman"/>
          <w:sz w:val="28"/>
          <w:szCs w:val="28"/>
        </w:rPr>
        <w:t>Сметанинского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120E23" w:rsidP="004D163A">
            <w:pPr>
              <w:pStyle w:val="TableParagraph"/>
              <w:ind w:right="87"/>
              <w:rPr>
                <w:sz w:val="28"/>
                <w:szCs w:val="28"/>
                <w:lang w:val="ru-RU"/>
              </w:rPr>
            </w:pPr>
            <w:proofErr w:type="spellStart"/>
            <w:r>
              <w:rPr>
                <w:sz w:val="28"/>
                <w:szCs w:val="28"/>
                <w:lang w:val="ru-RU"/>
              </w:rPr>
              <w:t>Сметанинское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120E23">
              <w:rPr>
                <w:sz w:val="28"/>
                <w:szCs w:val="28"/>
                <w:lang w:val="ru-RU"/>
              </w:rPr>
              <w:t>Сметанинского</w:t>
            </w:r>
            <w:proofErr w:type="spellEnd"/>
            <w:r w:rsidRPr="00F00A04">
              <w:rPr>
                <w:sz w:val="28"/>
                <w:szCs w:val="28"/>
                <w:lang w:val="ru-RU"/>
              </w:rPr>
              <w:t xml:space="preserve"> сельского поселения, МНГП </w:t>
            </w:r>
            <w:proofErr w:type="spellStart"/>
            <w:r w:rsidR="00120E23">
              <w:rPr>
                <w:sz w:val="28"/>
                <w:szCs w:val="28"/>
                <w:lang w:val="ru-RU"/>
              </w:rPr>
              <w:t>Сметанинского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120E23">
              <w:rPr>
                <w:sz w:val="28"/>
                <w:szCs w:val="28"/>
                <w:lang w:val="ru-RU"/>
              </w:rPr>
              <w:t>Сметанинского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120E23">
        <w:rPr>
          <w:sz w:val="28"/>
          <w:szCs w:val="28"/>
        </w:rPr>
        <w:t>Сметанинского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67C" w:rsidRDefault="000B467C" w:rsidP="0027659D">
      <w:pPr>
        <w:spacing w:after="0" w:line="240" w:lineRule="auto"/>
      </w:pPr>
      <w:r>
        <w:separator/>
      </w:r>
    </w:p>
  </w:endnote>
  <w:endnote w:type="continuationSeparator" w:id="0">
    <w:p w:rsidR="000B467C" w:rsidRDefault="000B467C"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EE4733">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EE4733">
    <w:pPr>
      <w:pStyle w:val="a9"/>
      <w:jc w:val="center"/>
    </w:pPr>
    <w:fldSimple w:instr=" PAGE   \* MERGEFORMAT ">
      <w:r w:rsidR="00916896">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EE4733"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97060F">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E7078">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EE4733" w:rsidP="00BE7078">
    <w:pPr>
      <w:pStyle w:val="a9"/>
      <w:jc w:val="center"/>
      <w:rPr>
        <w:rFonts w:ascii="Times New Roman" w:hAnsi="Times New Roman" w:cs="Times New Roman"/>
      </w:rPr>
    </w:pPr>
    <w:r w:rsidRPr="00B05F91">
      <w:rPr>
        <w:rFonts w:ascii="Times New Roman" w:hAnsi="Times New Roman" w:cs="Times New Roman"/>
      </w:rPr>
      <w:fldChar w:fldCharType="begin"/>
    </w:r>
    <w:r w:rsidR="00BE707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120E23">
      <w:rPr>
        <w:rFonts w:ascii="Times New Roman" w:hAnsi="Times New Roman" w:cs="Times New Roman"/>
        <w:noProof/>
      </w:rPr>
      <w:t>180</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EE4733" w:rsidP="00BE7078">
    <w:pPr>
      <w:pStyle w:val="a9"/>
      <w:jc w:val="center"/>
      <w:rPr>
        <w:rFonts w:ascii="Times New Roman" w:hAnsi="Times New Roman" w:cs="Times New Roman"/>
      </w:rPr>
    </w:pPr>
    <w:r w:rsidRPr="00B05F91">
      <w:rPr>
        <w:rFonts w:ascii="Times New Roman" w:hAnsi="Times New Roman" w:cs="Times New Roman"/>
      </w:rPr>
      <w:fldChar w:fldCharType="begin"/>
    </w:r>
    <w:r w:rsidR="00BE707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97060F">
      <w:rPr>
        <w:rFonts w:ascii="Times New Roman" w:hAnsi="Times New Roman" w:cs="Times New Roman"/>
        <w:noProof/>
      </w:rPr>
      <w:t>186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67C" w:rsidRDefault="000B467C" w:rsidP="0027659D">
      <w:pPr>
        <w:spacing w:after="0" w:line="240" w:lineRule="auto"/>
      </w:pPr>
      <w:r>
        <w:separator/>
      </w:r>
    </w:p>
  </w:footnote>
  <w:footnote w:type="continuationSeparator" w:id="0">
    <w:p w:rsidR="000B467C" w:rsidRDefault="000B467C"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120E23">
      <w:rPr>
        <w:rFonts w:ascii="Times New Roman" w:hAnsi="Times New Roman" w:cs="Times New Roman"/>
        <w:i/>
        <w:sz w:val="20"/>
      </w:rPr>
      <w:t>Сметанинского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467C"/>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0E23"/>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1961"/>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6CC7"/>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4E56"/>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225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060F"/>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4EE"/>
    <w:rsid w:val="00A22573"/>
    <w:rsid w:val="00A234B7"/>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078"/>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90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441"/>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227"/>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733"/>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69AB6-83D8-40C3-AFB8-1E15F9194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188</Pages>
  <Words>48753</Words>
  <Characters>277897</Characters>
  <Application>Microsoft Office Word</Application>
  <DocSecurity>0</DocSecurity>
  <Lines>2315</Lines>
  <Paragraphs>651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33</cp:revision>
  <cp:lastPrinted>2018-12-18T13:05:00Z</cp:lastPrinted>
  <dcterms:created xsi:type="dcterms:W3CDTF">2018-12-18T15:27:00Z</dcterms:created>
  <dcterms:modified xsi:type="dcterms:W3CDTF">2018-12-20T16:57:00Z</dcterms:modified>
</cp:coreProperties>
</file>