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1A" w:rsidRPr="00463C1A" w:rsidRDefault="00433FF6" w:rsidP="00463C1A">
      <w:pPr>
        <w:shd w:val="clear" w:color="auto" w:fill="FFFFFF"/>
        <w:spacing w:after="300" w:line="240" w:lineRule="auto"/>
        <w:outlineLvl w:val="0"/>
        <w:rPr>
          <w:rFonts w:ascii="Times New Roman" w:eastAsia="Times New Roman" w:hAnsi="Times New Roman" w:cs="Times New Roman"/>
          <w:sz w:val="24"/>
          <w:szCs w:val="24"/>
          <w:lang w:eastAsia="ru-RU"/>
        </w:rPr>
      </w:pPr>
      <w:r w:rsidRPr="00463C1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74FBFDA3" wp14:editId="023E4D81">
            <wp:simplePos x="0" y="0"/>
            <wp:positionH relativeFrom="column">
              <wp:posOffset>2795905</wp:posOffset>
            </wp:positionH>
            <wp:positionV relativeFrom="paragraph">
              <wp:posOffset>-114300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000" contrast="-16000"/>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14:sizeRelH relativeFrom="page">
              <wp14:pctWidth>0</wp14:pctWidth>
            </wp14:sizeRelH>
            <wp14:sizeRelV relativeFrom="page">
              <wp14:pctHeight>0</wp14:pctHeight>
            </wp14:sizeRelV>
          </wp:anchor>
        </w:drawing>
      </w:r>
      <w:r w:rsidR="00D84A1F">
        <w:rPr>
          <w:rFonts w:ascii="Arial" w:eastAsia="Times New Roman" w:hAnsi="Arial" w:cs="Arial"/>
          <w:color w:val="333333"/>
          <w:kern w:val="36"/>
          <w:sz w:val="38"/>
          <w:szCs w:val="38"/>
          <w:lang w:eastAsia="ru-RU"/>
        </w:rPr>
        <w:t xml:space="preserve">                       </w:t>
      </w:r>
    </w:p>
    <w:p w:rsidR="00463C1A" w:rsidRPr="00463C1A" w:rsidRDefault="00463C1A" w:rsidP="00463C1A">
      <w:pPr>
        <w:spacing w:after="0" w:line="240" w:lineRule="auto"/>
        <w:jc w:val="center"/>
        <w:rPr>
          <w:rFonts w:ascii="Times New Roman" w:eastAsia="Times New Roman" w:hAnsi="Times New Roman" w:cs="Times New Roman"/>
          <w:sz w:val="24"/>
          <w:szCs w:val="24"/>
          <w:lang w:eastAsia="ru-RU"/>
        </w:rPr>
      </w:pPr>
    </w:p>
    <w:p w:rsidR="00463C1A" w:rsidRPr="00463C1A" w:rsidRDefault="00463C1A" w:rsidP="00463C1A">
      <w:pPr>
        <w:spacing w:after="0" w:line="240" w:lineRule="auto"/>
        <w:jc w:val="center"/>
        <w:rPr>
          <w:rFonts w:ascii="Times New Roman" w:eastAsia="Times New Roman" w:hAnsi="Times New Roman" w:cs="Times New Roman"/>
          <w:b/>
          <w:sz w:val="24"/>
          <w:szCs w:val="28"/>
          <w:lang w:eastAsia="ru-RU"/>
        </w:rPr>
      </w:pPr>
      <w:r w:rsidRPr="00463C1A">
        <w:rPr>
          <w:rFonts w:ascii="Times New Roman" w:eastAsia="Times New Roman" w:hAnsi="Times New Roman" w:cs="Times New Roman"/>
          <w:b/>
          <w:sz w:val="24"/>
          <w:szCs w:val="28"/>
          <w:lang w:eastAsia="ru-RU"/>
        </w:rPr>
        <w:t xml:space="preserve">  </w:t>
      </w:r>
    </w:p>
    <w:p w:rsidR="00463C1A" w:rsidRPr="00463C1A" w:rsidRDefault="00463C1A" w:rsidP="00463C1A">
      <w:pPr>
        <w:spacing w:after="0" w:line="240" w:lineRule="auto"/>
        <w:jc w:val="center"/>
        <w:rPr>
          <w:rFonts w:ascii="Times New Roman" w:eastAsia="Times New Roman" w:hAnsi="Times New Roman" w:cs="Times New Roman"/>
          <w:b/>
          <w:sz w:val="24"/>
          <w:szCs w:val="28"/>
          <w:lang w:eastAsia="ru-RU"/>
        </w:rPr>
      </w:pPr>
    </w:p>
    <w:p w:rsidR="00463C1A" w:rsidRPr="00463C1A" w:rsidRDefault="00463C1A" w:rsidP="00463C1A">
      <w:pPr>
        <w:spacing w:after="0" w:line="240" w:lineRule="auto"/>
        <w:jc w:val="center"/>
        <w:rPr>
          <w:rFonts w:ascii="Times New Roman" w:eastAsia="Times New Roman" w:hAnsi="Times New Roman" w:cs="Times New Roman"/>
          <w:b/>
          <w:sz w:val="24"/>
          <w:szCs w:val="28"/>
          <w:lang w:eastAsia="ru-RU"/>
        </w:rPr>
      </w:pPr>
    </w:p>
    <w:p w:rsidR="00463C1A" w:rsidRPr="00463C1A" w:rsidRDefault="00463C1A" w:rsidP="00463C1A">
      <w:pPr>
        <w:spacing w:after="0" w:line="240" w:lineRule="auto"/>
        <w:jc w:val="center"/>
        <w:rPr>
          <w:rFonts w:ascii="Times New Roman" w:eastAsia="Times New Roman" w:hAnsi="Times New Roman" w:cs="Times New Roman"/>
          <w:b/>
          <w:sz w:val="28"/>
          <w:szCs w:val="28"/>
          <w:lang w:eastAsia="ru-RU"/>
        </w:rPr>
      </w:pPr>
      <w:r w:rsidRPr="00463C1A">
        <w:rPr>
          <w:rFonts w:ascii="Times New Roman" w:eastAsia="Times New Roman" w:hAnsi="Times New Roman" w:cs="Times New Roman"/>
          <w:b/>
          <w:sz w:val="28"/>
          <w:szCs w:val="28"/>
          <w:lang w:eastAsia="ru-RU"/>
        </w:rPr>
        <w:t>АДМИНИСТРАЦИЯ МУНИЦИПАЛЬНОГО ОБРАЗОВАНИЯ</w:t>
      </w:r>
    </w:p>
    <w:p w:rsidR="00463C1A" w:rsidRPr="00463C1A" w:rsidRDefault="00463C1A" w:rsidP="00463C1A">
      <w:pPr>
        <w:spacing w:after="0" w:line="240" w:lineRule="auto"/>
        <w:jc w:val="center"/>
        <w:rPr>
          <w:rFonts w:ascii="Times New Roman" w:eastAsia="Times New Roman" w:hAnsi="Times New Roman" w:cs="Times New Roman"/>
          <w:b/>
          <w:sz w:val="28"/>
          <w:szCs w:val="28"/>
          <w:lang w:eastAsia="ru-RU"/>
        </w:rPr>
      </w:pPr>
      <w:r w:rsidRPr="00463C1A">
        <w:rPr>
          <w:rFonts w:ascii="Times New Roman" w:eastAsia="Times New Roman" w:hAnsi="Times New Roman" w:cs="Times New Roman"/>
          <w:b/>
          <w:sz w:val="28"/>
          <w:szCs w:val="28"/>
          <w:lang w:eastAsia="ru-RU"/>
        </w:rPr>
        <w:t xml:space="preserve"> «СМОЛЕНСКИЙ РАЙОН» СМОЛЕНСКОЙ ОБЛАСТИ</w:t>
      </w:r>
    </w:p>
    <w:p w:rsidR="00463C1A" w:rsidRPr="00463C1A" w:rsidRDefault="00463C1A" w:rsidP="00463C1A">
      <w:pPr>
        <w:spacing w:after="0" w:line="240" w:lineRule="auto"/>
        <w:jc w:val="center"/>
        <w:rPr>
          <w:rFonts w:ascii="Times New Roman" w:eastAsia="Times New Roman" w:hAnsi="Times New Roman" w:cs="Times New Roman"/>
          <w:b/>
          <w:sz w:val="24"/>
          <w:szCs w:val="24"/>
          <w:lang w:eastAsia="ru-RU"/>
        </w:rPr>
      </w:pPr>
    </w:p>
    <w:p w:rsidR="00463C1A" w:rsidRPr="00463C1A" w:rsidRDefault="00463C1A" w:rsidP="00463C1A">
      <w:pPr>
        <w:spacing w:after="0" w:line="240" w:lineRule="auto"/>
        <w:jc w:val="center"/>
        <w:rPr>
          <w:rFonts w:ascii="Times New Roman" w:eastAsia="Times New Roman" w:hAnsi="Times New Roman" w:cs="Times New Roman"/>
          <w:b/>
          <w:sz w:val="28"/>
          <w:szCs w:val="28"/>
          <w:lang w:eastAsia="ru-RU"/>
        </w:rPr>
      </w:pPr>
      <w:r w:rsidRPr="00463C1A">
        <w:rPr>
          <w:rFonts w:ascii="Times New Roman" w:eastAsia="Times New Roman" w:hAnsi="Times New Roman" w:cs="Times New Roman"/>
          <w:b/>
          <w:sz w:val="28"/>
          <w:szCs w:val="28"/>
          <w:lang w:eastAsia="ru-RU"/>
        </w:rPr>
        <w:t xml:space="preserve">ПОСТАНОВЛЕНИЕ </w:t>
      </w:r>
    </w:p>
    <w:p w:rsidR="00463C1A" w:rsidRPr="00463C1A" w:rsidRDefault="00463C1A" w:rsidP="00463C1A">
      <w:pPr>
        <w:spacing w:after="0" w:line="240" w:lineRule="auto"/>
        <w:jc w:val="center"/>
        <w:rPr>
          <w:rFonts w:ascii="Times New Roman" w:eastAsia="Times New Roman" w:hAnsi="Times New Roman" w:cs="Times New Roman"/>
          <w:b/>
          <w:sz w:val="32"/>
          <w:szCs w:val="32"/>
          <w:lang w:eastAsia="ru-RU"/>
        </w:rPr>
      </w:pPr>
    </w:p>
    <w:p w:rsidR="00463C1A" w:rsidRPr="00463C1A" w:rsidRDefault="00463C1A" w:rsidP="00463C1A">
      <w:pPr>
        <w:spacing w:after="0" w:line="240" w:lineRule="auto"/>
        <w:jc w:val="center"/>
        <w:rPr>
          <w:rFonts w:ascii="Times New Roman" w:eastAsia="Times New Roman" w:hAnsi="Times New Roman" w:cs="Times New Roman"/>
          <w:b/>
          <w:sz w:val="32"/>
          <w:szCs w:val="32"/>
          <w:lang w:eastAsia="ru-RU"/>
        </w:rPr>
      </w:pPr>
    </w:p>
    <w:p w:rsidR="004C0320" w:rsidRDefault="00463C1A" w:rsidP="004C0320">
      <w:pPr>
        <w:pStyle w:val="a8"/>
        <w:jc w:val="right"/>
      </w:pPr>
      <w:r w:rsidRPr="00463C1A">
        <w:rPr>
          <w:rFonts w:ascii="Times New Roman" w:eastAsia="Times New Roman" w:hAnsi="Times New Roman" w:cs="Times New Roman"/>
          <w:sz w:val="24"/>
          <w:szCs w:val="24"/>
          <w:lang w:eastAsia="ru-RU"/>
        </w:rPr>
        <w:t>от __________________      № ________</w:t>
      </w:r>
      <w:r w:rsidR="004C0320">
        <w:rPr>
          <w:rFonts w:ascii="Times New Roman" w:eastAsia="Times New Roman" w:hAnsi="Times New Roman" w:cs="Times New Roman"/>
          <w:sz w:val="24"/>
          <w:szCs w:val="24"/>
          <w:lang w:eastAsia="ru-RU"/>
        </w:rPr>
        <w:tab/>
      </w:r>
      <w:r w:rsidR="004C0320">
        <w:rPr>
          <w:rFonts w:ascii="Times New Roman" w:eastAsia="Times New Roman" w:hAnsi="Times New Roman" w:cs="Times New Roman"/>
          <w:sz w:val="24"/>
          <w:szCs w:val="24"/>
          <w:lang w:eastAsia="ru-RU"/>
        </w:rPr>
        <w:tab/>
      </w:r>
      <w:bookmarkStart w:id="0" w:name="_GoBack"/>
      <w:bookmarkEnd w:id="0"/>
      <w:r w:rsidR="004C0320">
        <w:t>ПРОЕКТ</w:t>
      </w:r>
    </w:p>
    <w:p w:rsidR="00463C1A" w:rsidRPr="00463C1A" w:rsidRDefault="004C0320" w:rsidP="00463C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0" w:type="auto"/>
        <w:tblLook w:val="01E0" w:firstRow="1" w:lastRow="1" w:firstColumn="1" w:lastColumn="1" w:noHBand="0" w:noVBand="0"/>
      </w:tblPr>
      <w:tblGrid>
        <w:gridCol w:w="4785"/>
        <w:gridCol w:w="4786"/>
      </w:tblGrid>
      <w:tr w:rsidR="00463C1A" w:rsidRPr="00463C1A" w:rsidTr="00442171">
        <w:tc>
          <w:tcPr>
            <w:tcW w:w="4785" w:type="dxa"/>
          </w:tcPr>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FC1D5C">
            <w:pPr>
              <w:spacing w:after="0" w:line="240" w:lineRule="auto"/>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 xml:space="preserve">Об утверждении Порядка </w:t>
            </w:r>
            <w:r w:rsidR="00FC1D5C">
              <w:rPr>
                <w:rFonts w:ascii="Times New Roman" w:eastAsia="Times New Roman" w:hAnsi="Times New Roman" w:cs="Times New Roman"/>
                <w:sz w:val="28"/>
                <w:szCs w:val="28"/>
                <w:lang w:eastAsia="ru-RU"/>
              </w:rPr>
              <w:t xml:space="preserve">перехода </w:t>
            </w:r>
            <w:r w:rsidRPr="00463C1A">
              <w:rPr>
                <w:rFonts w:ascii="Times New Roman" w:eastAsia="Times New Roman" w:hAnsi="Times New Roman" w:cs="Times New Roman"/>
                <w:sz w:val="28"/>
                <w:szCs w:val="28"/>
                <w:lang w:eastAsia="ru-RU"/>
              </w:rPr>
              <w:t xml:space="preserve"> на эффективн</w:t>
            </w:r>
            <w:r>
              <w:rPr>
                <w:rFonts w:ascii="Times New Roman" w:eastAsia="Times New Roman" w:hAnsi="Times New Roman" w:cs="Times New Roman"/>
                <w:sz w:val="28"/>
                <w:szCs w:val="28"/>
                <w:lang w:eastAsia="ru-RU"/>
              </w:rPr>
              <w:t xml:space="preserve">ый контракт </w:t>
            </w:r>
            <w:r w:rsidRPr="00463C1A">
              <w:rPr>
                <w:rFonts w:ascii="Times New Roman" w:eastAsia="Times New Roman" w:hAnsi="Times New Roman" w:cs="Times New Roman"/>
                <w:sz w:val="28"/>
                <w:szCs w:val="28"/>
                <w:lang w:eastAsia="ru-RU"/>
              </w:rPr>
              <w:t xml:space="preserve"> с руководителями образовательных организаций  </w:t>
            </w:r>
          </w:p>
        </w:tc>
        <w:tc>
          <w:tcPr>
            <w:tcW w:w="4786" w:type="dxa"/>
          </w:tcPr>
          <w:p w:rsidR="00463C1A" w:rsidRPr="00463C1A" w:rsidRDefault="00463C1A" w:rsidP="00463C1A">
            <w:pPr>
              <w:spacing w:after="0" w:line="240" w:lineRule="auto"/>
              <w:rPr>
                <w:rFonts w:ascii="Times New Roman" w:eastAsia="Times New Roman" w:hAnsi="Times New Roman" w:cs="Times New Roman"/>
                <w:sz w:val="28"/>
                <w:szCs w:val="28"/>
                <w:lang w:eastAsia="ru-RU"/>
              </w:rPr>
            </w:pPr>
          </w:p>
        </w:tc>
      </w:tr>
    </w:tbl>
    <w:p w:rsidR="00463C1A" w:rsidRDefault="00463C1A" w:rsidP="00463C1A">
      <w:pPr>
        <w:spacing w:after="0" w:line="240" w:lineRule="auto"/>
        <w:rPr>
          <w:rFonts w:ascii="Times New Roman" w:eastAsia="Times New Roman" w:hAnsi="Times New Roman" w:cs="Times New Roman"/>
          <w:sz w:val="28"/>
          <w:szCs w:val="28"/>
          <w:lang w:eastAsia="ru-RU"/>
        </w:rPr>
      </w:pPr>
    </w:p>
    <w:p w:rsidR="00433FF6" w:rsidRPr="00463C1A" w:rsidRDefault="00433FF6" w:rsidP="00463C1A">
      <w:pPr>
        <w:spacing w:after="0" w:line="240" w:lineRule="auto"/>
        <w:rPr>
          <w:rFonts w:ascii="Times New Roman" w:eastAsia="Times New Roman" w:hAnsi="Times New Roman" w:cs="Times New Roman"/>
          <w:sz w:val="28"/>
          <w:szCs w:val="28"/>
          <w:lang w:eastAsia="ru-RU"/>
        </w:rPr>
      </w:pPr>
    </w:p>
    <w:p w:rsidR="00463C1A" w:rsidRDefault="00463C1A" w:rsidP="00433F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постановлением</w:t>
      </w:r>
      <w:r w:rsidRPr="00463C1A">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муниципального образования «Смоленский район» </w:t>
      </w:r>
      <w:r w:rsidRPr="00463C1A">
        <w:rPr>
          <w:rFonts w:ascii="Times New Roman" w:eastAsia="Times New Roman" w:hAnsi="Times New Roman" w:cs="Times New Roman"/>
          <w:sz w:val="28"/>
          <w:szCs w:val="28"/>
          <w:lang w:eastAsia="ru-RU"/>
        </w:rPr>
        <w:t>Смоленской области</w:t>
      </w:r>
      <w:r w:rsidRPr="00463C1A">
        <w:rPr>
          <w:rFonts w:ascii="Times New Roman" w:eastAsia="Times New Roman" w:hAnsi="Times New Roman" w:cs="Times New Roman"/>
          <w:b/>
          <w:bCs/>
          <w:sz w:val="28"/>
          <w:szCs w:val="28"/>
        </w:rPr>
        <w:t xml:space="preserve"> </w:t>
      </w:r>
      <w:r w:rsidRPr="00FC1D5C">
        <w:rPr>
          <w:rFonts w:ascii="Times New Roman" w:eastAsia="Times New Roman" w:hAnsi="Times New Roman" w:cs="Times New Roman"/>
          <w:bCs/>
          <w:sz w:val="28"/>
          <w:szCs w:val="28"/>
        </w:rPr>
        <w:t xml:space="preserve">от </w:t>
      </w:r>
      <w:r w:rsidR="00FC1D5C" w:rsidRPr="00FC1D5C">
        <w:rPr>
          <w:rFonts w:ascii="Times New Roman" w:eastAsia="Times New Roman" w:hAnsi="Times New Roman" w:cs="Times New Roman"/>
          <w:bCs/>
          <w:sz w:val="28"/>
          <w:szCs w:val="28"/>
        </w:rPr>
        <w:t>24 апреля 2015</w:t>
      </w:r>
      <w:r w:rsidRPr="00FC1D5C">
        <w:rPr>
          <w:rFonts w:ascii="Times New Roman" w:eastAsia="Times New Roman" w:hAnsi="Times New Roman" w:cs="Times New Roman"/>
          <w:bCs/>
          <w:sz w:val="28"/>
          <w:szCs w:val="28"/>
        </w:rPr>
        <w:t xml:space="preserve"> г. N </w:t>
      </w:r>
      <w:r w:rsidR="00FC1D5C" w:rsidRPr="00FC1D5C">
        <w:rPr>
          <w:rFonts w:ascii="Times New Roman" w:eastAsia="Times New Roman" w:hAnsi="Times New Roman" w:cs="Times New Roman"/>
          <w:bCs/>
          <w:sz w:val="28"/>
          <w:szCs w:val="28"/>
        </w:rPr>
        <w:t xml:space="preserve">683 </w:t>
      </w:r>
      <w:r w:rsidR="00433FF6">
        <w:rPr>
          <w:rFonts w:ascii="Times New Roman" w:eastAsia="Times New Roman" w:hAnsi="Times New Roman" w:cs="Times New Roman"/>
          <w:bCs/>
          <w:sz w:val="28"/>
          <w:szCs w:val="28"/>
        </w:rPr>
        <w:t>«</w:t>
      </w:r>
      <w:r w:rsidRPr="00463C1A">
        <w:rPr>
          <w:rFonts w:ascii="Times New Roman" w:eastAsia="Times New Roman" w:hAnsi="Times New Roman" w:cs="Times New Roman"/>
          <w:bCs/>
          <w:sz w:val="28"/>
          <w:szCs w:val="28"/>
        </w:rPr>
        <w:t xml:space="preserve">Об утверждении плана  мероприятий </w:t>
      </w:r>
      <w:r w:rsidR="00433FF6">
        <w:rPr>
          <w:rFonts w:ascii="Times New Roman" w:eastAsia="Times New Roman" w:hAnsi="Times New Roman" w:cs="Times New Roman"/>
          <w:bCs/>
          <w:sz w:val="28"/>
          <w:szCs w:val="28"/>
        </w:rPr>
        <w:t>(«Дорожной карты»)</w:t>
      </w:r>
      <w:r w:rsidR="00BB1710" w:rsidRPr="00BB1710">
        <w:rPr>
          <w:rFonts w:ascii="Times New Roman" w:eastAsia="Times New Roman" w:hAnsi="Times New Roman" w:cs="Times New Roman"/>
          <w:sz w:val="28"/>
          <w:szCs w:val="28"/>
          <w:lang w:eastAsia="ru-RU"/>
        </w:rPr>
        <w:t xml:space="preserve"> </w:t>
      </w:r>
      <w:r w:rsidR="00BB1710" w:rsidRPr="00463C1A">
        <w:rPr>
          <w:rFonts w:ascii="Times New Roman" w:eastAsia="Times New Roman" w:hAnsi="Times New Roman" w:cs="Times New Roman"/>
          <w:sz w:val="28"/>
          <w:szCs w:val="28"/>
          <w:lang w:eastAsia="ru-RU"/>
        </w:rPr>
        <w:t>«Изменения в отраслях социальной сферы в муниципальных образовательных организациях муниципального образования «Смоленский район» Смоленской области, направленные на повышение эффективности образования и науки»</w:t>
      </w:r>
    </w:p>
    <w:p w:rsidR="00BB1710" w:rsidRPr="00463C1A" w:rsidRDefault="00BB1710" w:rsidP="00BB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3FF6" w:rsidRDefault="00433FF6" w:rsidP="00BB1710">
      <w:pPr>
        <w:spacing w:after="0" w:line="240" w:lineRule="auto"/>
        <w:ind w:firstLine="708"/>
        <w:jc w:val="both"/>
        <w:rPr>
          <w:rFonts w:ascii="Times New Roman" w:eastAsia="Times New Roman" w:hAnsi="Times New Roman" w:cs="Times New Roman"/>
          <w:sz w:val="28"/>
          <w:szCs w:val="20"/>
          <w:lang w:eastAsia="ru-RU"/>
        </w:rPr>
      </w:pPr>
    </w:p>
    <w:p w:rsidR="00BB1710" w:rsidRPr="00BB1710" w:rsidRDefault="00BB1710" w:rsidP="00BB1710">
      <w:pPr>
        <w:spacing w:after="0" w:line="240" w:lineRule="auto"/>
        <w:ind w:firstLine="708"/>
        <w:jc w:val="both"/>
        <w:rPr>
          <w:rFonts w:ascii="Times New Roman" w:eastAsia="Times New Roman" w:hAnsi="Times New Roman" w:cs="Times New Roman"/>
          <w:sz w:val="28"/>
          <w:szCs w:val="20"/>
          <w:lang w:eastAsia="ru-RU"/>
        </w:rPr>
      </w:pPr>
      <w:r w:rsidRPr="00BB1710">
        <w:rPr>
          <w:rFonts w:ascii="Times New Roman" w:eastAsia="Times New Roman" w:hAnsi="Times New Roman" w:cs="Times New Roman"/>
          <w:sz w:val="28"/>
          <w:szCs w:val="20"/>
          <w:lang w:eastAsia="ru-RU"/>
        </w:rPr>
        <w:t>АДМИНИСТРАЦИЯ МУНИЦИПАЛЬНОГО ОБРАЗОВАНИЯ «СМОЛЕНСКИЙ РАЙОН» СМОЛЕНСКОЙ ОБЛАСТИ ПОСТАНОВЛЯЕТ:</w:t>
      </w:r>
    </w:p>
    <w:p w:rsidR="00463C1A" w:rsidRPr="00463C1A" w:rsidRDefault="00463C1A" w:rsidP="00463C1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3FF6" w:rsidRDefault="00BB1710" w:rsidP="00433F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Порядок</w:t>
      </w:r>
      <w:r w:rsidR="00FC1D5C">
        <w:rPr>
          <w:rFonts w:ascii="Times New Roman" w:eastAsia="Times New Roman" w:hAnsi="Times New Roman" w:cs="Times New Roman"/>
          <w:sz w:val="28"/>
          <w:szCs w:val="28"/>
        </w:rPr>
        <w:t xml:space="preserve"> </w:t>
      </w:r>
      <w:r w:rsidR="00FC1D5C" w:rsidRPr="00FC1D5C">
        <w:rPr>
          <w:rFonts w:ascii="Times New Roman" w:eastAsia="Times New Roman" w:hAnsi="Times New Roman" w:cs="Times New Roman"/>
          <w:sz w:val="28"/>
          <w:szCs w:val="28"/>
          <w:lang w:eastAsia="ru-RU"/>
        </w:rPr>
        <w:t xml:space="preserve"> </w:t>
      </w:r>
      <w:r w:rsidR="00FC1D5C">
        <w:rPr>
          <w:rFonts w:ascii="Times New Roman" w:eastAsia="Times New Roman" w:hAnsi="Times New Roman" w:cs="Times New Roman"/>
          <w:sz w:val="28"/>
          <w:szCs w:val="28"/>
          <w:lang w:eastAsia="ru-RU"/>
        </w:rPr>
        <w:t xml:space="preserve">перехода </w:t>
      </w:r>
      <w:r w:rsidR="00FC1D5C" w:rsidRPr="00463C1A">
        <w:rPr>
          <w:rFonts w:ascii="Times New Roman" w:eastAsia="Times New Roman" w:hAnsi="Times New Roman" w:cs="Times New Roman"/>
          <w:sz w:val="28"/>
          <w:szCs w:val="28"/>
          <w:lang w:eastAsia="ru-RU"/>
        </w:rPr>
        <w:t xml:space="preserve"> на эффективн</w:t>
      </w:r>
      <w:r w:rsidR="00FC1D5C">
        <w:rPr>
          <w:rFonts w:ascii="Times New Roman" w:eastAsia="Times New Roman" w:hAnsi="Times New Roman" w:cs="Times New Roman"/>
          <w:sz w:val="28"/>
          <w:szCs w:val="28"/>
          <w:lang w:eastAsia="ru-RU"/>
        </w:rPr>
        <w:t xml:space="preserve">ый контракт </w:t>
      </w:r>
      <w:r w:rsidR="00FC1D5C" w:rsidRPr="00463C1A">
        <w:rPr>
          <w:rFonts w:ascii="Times New Roman" w:eastAsia="Times New Roman" w:hAnsi="Times New Roman" w:cs="Times New Roman"/>
          <w:sz w:val="28"/>
          <w:szCs w:val="28"/>
          <w:lang w:eastAsia="ru-RU"/>
        </w:rPr>
        <w:t xml:space="preserve"> с руководителями образовательных </w:t>
      </w:r>
      <w:r w:rsidR="00FC1D5C">
        <w:rPr>
          <w:rFonts w:ascii="Times New Roman" w:eastAsia="Times New Roman" w:hAnsi="Times New Roman" w:cs="Times New Roman"/>
          <w:sz w:val="28"/>
          <w:szCs w:val="28"/>
          <w:lang w:eastAsia="ru-RU"/>
        </w:rPr>
        <w:t xml:space="preserve">организаций </w:t>
      </w:r>
      <w:r w:rsidR="00463C1A" w:rsidRPr="00463C1A">
        <w:rPr>
          <w:rFonts w:ascii="Times New Roman" w:eastAsia="Times New Roman" w:hAnsi="Times New Roman" w:cs="Times New Roman"/>
          <w:sz w:val="28"/>
          <w:szCs w:val="28"/>
        </w:rPr>
        <w:t xml:space="preserve">согласно приложению к настоящему </w:t>
      </w:r>
      <w:r>
        <w:rPr>
          <w:rFonts w:ascii="Times New Roman" w:eastAsia="Times New Roman" w:hAnsi="Times New Roman" w:cs="Times New Roman"/>
          <w:sz w:val="28"/>
          <w:szCs w:val="28"/>
        </w:rPr>
        <w:t>постановлению</w:t>
      </w:r>
      <w:r w:rsidR="00463C1A" w:rsidRPr="00463C1A">
        <w:rPr>
          <w:rFonts w:ascii="Times New Roman" w:eastAsia="Times New Roman" w:hAnsi="Times New Roman" w:cs="Times New Roman"/>
          <w:sz w:val="28"/>
          <w:szCs w:val="28"/>
        </w:rPr>
        <w:t>.</w:t>
      </w:r>
    </w:p>
    <w:p w:rsidR="00433FF6" w:rsidRDefault="00FC1D5C" w:rsidP="00433F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BB1710" w:rsidRPr="00433FF6">
        <w:rPr>
          <w:rFonts w:ascii="Times New Roman" w:hAnsi="Times New Roman" w:cs="Times New Roman"/>
          <w:sz w:val="28"/>
          <w:szCs w:val="28"/>
        </w:rPr>
        <w:t>. Настоящее постановление вступает в силу с момента опубликования в газете «Сельская правда»</w:t>
      </w:r>
      <w:r w:rsidR="00433FF6">
        <w:rPr>
          <w:rFonts w:ascii="Times New Roman" w:hAnsi="Times New Roman" w:cs="Times New Roman"/>
          <w:sz w:val="28"/>
          <w:szCs w:val="28"/>
        </w:rPr>
        <w:t>.</w:t>
      </w:r>
    </w:p>
    <w:p w:rsidR="00433FF6" w:rsidRDefault="00FC1D5C" w:rsidP="00433F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433FF6" w:rsidRPr="00463C1A" w:rsidRDefault="00433FF6" w:rsidP="00433F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463C1A" w:rsidRDefault="00463C1A" w:rsidP="00463C1A">
      <w:pPr>
        <w:spacing w:after="0" w:line="240" w:lineRule="auto"/>
        <w:rPr>
          <w:rFonts w:ascii="Times New Roman" w:eastAsia="Times New Roman" w:hAnsi="Times New Roman" w:cs="Times New Roman"/>
          <w:sz w:val="28"/>
          <w:szCs w:val="28"/>
          <w:lang w:eastAsia="ru-RU"/>
        </w:rPr>
      </w:pPr>
    </w:p>
    <w:p w:rsidR="00433FF6" w:rsidRPr="00463C1A" w:rsidRDefault="00433FF6" w:rsidP="00463C1A">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328"/>
        <w:gridCol w:w="4243"/>
      </w:tblGrid>
      <w:tr w:rsidR="00463C1A" w:rsidRPr="00463C1A" w:rsidTr="00442171">
        <w:tc>
          <w:tcPr>
            <w:tcW w:w="5328" w:type="dxa"/>
          </w:tcPr>
          <w:p w:rsidR="00463C1A" w:rsidRPr="00463C1A" w:rsidRDefault="00463C1A" w:rsidP="00463C1A">
            <w:pPr>
              <w:spacing w:after="0" w:line="240" w:lineRule="auto"/>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Глава Администрации</w:t>
            </w:r>
          </w:p>
          <w:p w:rsidR="00463C1A" w:rsidRPr="00463C1A" w:rsidRDefault="00463C1A" w:rsidP="00463C1A">
            <w:pPr>
              <w:spacing w:after="0" w:line="240" w:lineRule="auto"/>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муниципального образования</w:t>
            </w:r>
          </w:p>
          <w:p w:rsidR="00463C1A" w:rsidRPr="00463C1A" w:rsidRDefault="00463C1A" w:rsidP="00463C1A">
            <w:pPr>
              <w:spacing w:after="0" w:line="240" w:lineRule="auto"/>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«Смоленский район» Смоленской области</w:t>
            </w:r>
          </w:p>
        </w:tc>
        <w:tc>
          <w:tcPr>
            <w:tcW w:w="4243" w:type="dxa"/>
            <w:vAlign w:val="bottom"/>
          </w:tcPr>
          <w:p w:rsidR="00463C1A" w:rsidRPr="00463C1A" w:rsidRDefault="00463C1A" w:rsidP="00463C1A">
            <w:pPr>
              <w:spacing w:after="0" w:line="240" w:lineRule="auto"/>
              <w:jc w:val="right"/>
              <w:rPr>
                <w:rFonts w:ascii="Times New Roman" w:eastAsia="Times New Roman" w:hAnsi="Times New Roman" w:cs="Times New Roman"/>
                <w:b/>
                <w:sz w:val="28"/>
                <w:szCs w:val="28"/>
                <w:lang w:eastAsia="ru-RU"/>
              </w:rPr>
            </w:pPr>
            <w:r w:rsidRPr="00463C1A">
              <w:rPr>
                <w:rFonts w:ascii="Times New Roman" w:eastAsia="Times New Roman" w:hAnsi="Times New Roman" w:cs="Times New Roman"/>
                <w:b/>
                <w:sz w:val="28"/>
                <w:szCs w:val="28"/>
                <w:lang w:eastAsia="ru-RU"/>
              </w:rPr>
              <w:t>О. Ю. Язева</w:t>
            </w:r>
          </w:p>
        </w:tc>
      </w:tr>
    </w:tbl>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r w:rsidRPr="00463C1A">
        <w:rPr>
          <w:rFonts w:ascii="Times New Roman" w:eastAsia="Times New Roman" w:hAnsi="Times New Roman" w:cs="Times New Roman"/>
          <w:sz w:val="28"/>
          <w:szCs w:val="28"/>
          <w:lang w:eastAsia="ru-RU"/>
        </w:rPr>
        <w:t xml:space="preserve">                                                                                                   </w:t>
      </w: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463C1A" w:rsidRDefault="00463C1A" w:rsidP="00463C1A">
      <w:pPr>
        <w:spacing w:after="0" w:line="240" w:lineRule="auto"/>
        <w:rPr>
          <w:rFonts w:ascii="Times New Roman" w:eastAsia="Times New Roman" w:hAnsi="Times New Roman" w:cs="Times New Roman"/>
          <w:sz w:val="28"/>
          <w:szCs w:val="28"/>
          <w:lang w:eastAsia="ru-RU"/>
        </w:rPr>
      </w:pPr>
    </w:p>
    <w:p w:rsidR="00463C1A" w:rsidRPr="001220A2" w:rsidRDefault="00FC1D5C" w:rsidP="00FC1D5C">
      <w:pPr>
        <w:shd w:val="clear" w:color="auto" w:fill="FFFFFF"/>
        <w:spacing w:after="300" w:line="240" w:lineRule="atLeas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sz w:val="28"/>
          <w:szCs w:val="28"/>
          <w:lang w:eastAsia="ru-RU"/>
        </w:rPr>
        <w:t xml:space="preserve">                                                                                   </w:t>
      </w:r>
      <w:r w:rsidR="001220A2" w:rsidRPr="001220A2">
        <w:rPr>
          <w:rFonts w:ascii="Times New Roman" w:eastAsia="Times New Roman" w:hAnsi="Times New Roman" w:cs="Times New Roman"/>
          <w:b/>
          <w:color w:val="333333"/>
          <w:kern w:val="36"/>
          <w:sz w:val="28"/>
          <w:szCs w:val="28"/>
          <w:lang w:eastAsia="ru-RU"/>
        </w:rPr>
        <w:t>УТВЕРЖДЕН</w:t>
      </w:r>
    </w:p>
    <w:p w:rsidR="001220A2" w:rsidRPr="00433FF6" w:rsidRDefault="00433FF6" w:rsidP="00433FF6">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r w:rsidR="001220A2" w:rsidRPr="00433FF6">
        <w:rPr>
          <w:rFonts w:ascii="Times New Roman" w:eastAsia="Times New Roman" w:hAnsi="Times New Roman" w:cs="Times New Roman"/>
          <w:color w:val="333333"/>
          <w:kern w:val="36"/>
          <w:sz w:val="28"/>
          <w:szCs w:val="28"/>
          <w:lang w:eastAsia="ru-RU"/>
        </w:rPr>
        <w:t>п</w:t>
      </w:r>
      <w:r w:rsidR="00BB1710" w:rsidRPr="00433FF6">
        <w:rPr>
          <w:rFonts w:ascii="Times New Roman" w:eastAsia="Times New Roman" w:hAnsi="Times New Roman" w:cs="Times New Roman"/>
          <w:color w:val="333333"/>
          <w:kern w:val="36"/>
          <w:sz w:val="28"/>
          <w:szCs w:val="28"/>
          <w:lang w:eastAsia="ru-RU"/>
        </w:rPr>
        <w:t>остановлением Администрации</w:t>
      </w:r>
    </w:p>
    <w:p w:rsidR="001220A2" w:rsidRPr="00433FF6" w:rsidRDefault="001220A2" w:rsidP="00433FF6">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sidRPr="00433FF6">
        <w:rPr>
          <w:rFonts w:ascii="Times New Roman" w:eastAsia="Times New Roman" w:hAnsi="Times New Roman" w:cs="Times New Roman"/>
          <w:color w:val="333333"/>
          <w:kern w:val="36"/>
          <w:sz w:val="28"/>
          <w:szCs w:val="28"/>
          <w:lang w:eastAsia="ru-RU"/>
        </w:rPr>
        <w:t xml:space="preserve">                                                                </w:t>
      </w:r>
      <w:r w:rsidR="00433FF6">
        <w:rPr>
          <w:rFonts w:ascii="Times New Roman" w:eastAsia="Times New Roman" w:hAnsi="Times New Roman" w:cs="Times New Roman"/>
          <w:color w:val="333333"/>
          <w:kern w:val="36"/>
          <w:sz w:val="28"/>
          <w:szCs w:val="28"/>
          <w:lang w:eastAsia="ru-RU"/>
        </w:rPr>
        <w:t xml:space="preserve">                  </w:t>
      </w:r>
      <w:r w:rsidR="00BB1710" w:rsidRPr="00433FF6">
        <w:rPr>
          <w:rFonts w:ascii="Times New Roman" w:eastAsia="Times New Roman" w:hAnsi="Times New Roman" w:cs="Times New Roman"/>
          <w:color w:val="333333"/>
          <w:kern w:val="36"/>
          <w:sz w:val="28"/>
          <w:szCs w:val="28"/>
          <w:lang w:eastAsia="ru-RU"/>
        </w:rPr>
        <w:t xml:space="preserve">муниципального образования </w:t>
      </w:r>
    </w:p>
    <w:p w:rsidR="00433FF6" w:rsidRDefault="001220A2" w:rsidP="00433FF6">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sidRPr="00433FF6">
        <w:rPr>
          <w:rFonts w:ascii="Times New Roman" w:eastAsia="Times New Roman" w:hAnsi="Times New Roman" w:cs="Times New Roman"/>
          <w:color w:val="333333"/>
          <w:kern w:val="36"/>
          <w:sz w:val="28"/>
          <w:szCs w:val="28"/>
          <w:lang w:eastAsia="ru-RU"/>
        </w:rPr>
        <w:t xml:space="preserve">                                                              </w:t>
      </w:r>
      <w:r w:rsidR="00433FF6">
        <w:rPr>
          <w:rFonts w:ascii="Times New Roman" w:eastAsia="Times New Roman" w:hAnsi="Times New Roman" w:cs="Times New Roman"/>
          <w:color w:val="333333"/>
          <w:kern w:val="36"/>
          <w:sz w:val="28"/>
          <w:szCs w:val="28"/>
          <w:lang w:eastAsia="ru-RU"/>
        </w:rPr>
        <w:t xml:space="preserve">      </w:t>
      </w:r>
      <w:r w:rsidR="00BB1710" w:rsidRPr="00433FF6">
        <w:rPr>
          <w:rFonts w:ascii="Times New Roman" w:eastAsia="Times New Roman" w:hAnsi="Times New Roman" w:cs="Times New Roman"/>
          <w:color w:val="333333"/>
          <w:kern w:val="36"/>
          <w:sz w:val="28"/>
          <w:szCs w:val="28"/>
          <w:lang w:eastAsia="ru-RU"/>
        </w:rPr>
        <w:t xml:space="preserve">«Смоленский район» </w:t>
      </w:r>
    </w:p>
    <w:p w:rsidR="00BB1710" w:rsidRPr="00433FF6" w:rsidRDefault="00433FF6" w:rsidP="00433FF6">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r w:rsidR="00BB1710" w:rsidRPr="00433FF6">
        <w:rPr>
          <w:rFonts w:ascii="Times New Roman" w:eastAsia="Times New Roman" w:hAnsi="Times New Roman" w:cs="Times New Roman"/>
          <w:color w:val="333333"/>
          <w:kern w:val="36"/>
          <w:sz w:val="28"/>
          <w:szCs w:val="28"/>
          <w:lang w:eastAsia="ru-RU"/>
        </w:rPr>
        <w:t>Смоленской области</w:t>
      </w:r>
    </w:p>
    <w:p w:rsidR="001220A2" w:rsidRPr="00433FF6" w:rsidRDefault="001220A2" w:rsidP="00433FF6">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sidRPr="00433FF6">
        <w:rPr>
          <w:rFonts w:ascii="Times New Roman" w:eastAsia="Times New Roman" w:hAnsi="Times New Roman" w:cs="Times New Roman"/>
          <w:color w:val="333333"/>
          <w:kern w:val="36"/>
          <w:sz w:val="28"/>
          <w:szCs w:val="28"/>
          <w:lang w:eastAsia="ru-RU"/>
        </w:rPr>
        <w:t xml:space="preserve">                                                               </w:t>
      </w:r>
      <w:r w:rsidR="00433FF6">
        <w:rPr>
          <w:rFonts w:ascii="Times New Roman" w:eastAsia="Times New Roman" w:hAnsi="Times New Roman" w:cs="Times New Roman"/>
          <w:color w:val="333333"/>
          <w:kern w:val="36"/>
          <w:sz w:val="28"/>
          <w:szCs w:val="28"/>
          <w:lang w:eastAsia="ru-RU"/>
        </w:rPr>
        <w:t xml:space="preserve">       </w:t>
      </w:r>
      <w:r w:rsidRPr="00433FF6">
        <w:rPr>
          <w:rFonts w:ascii="Times New Roman" w:eastAsia="Times New Roman" w:hAnsi="Times New Roman" w:cs="Times New Roman"/>
          <w:color w:val="333333"/>
          <w:kern w:val="36"/>
          <w:sz w:val="28"/>
          <w:szCs w:val="28"/>
          <w:lang w:eastAsia="ru-RU"/>
        </w:rPr>
        <w:t>от________ №_______</w:t>
      </w:r>
    </w:p>
    <w:p w:rsidR="00463C1A" w:rsidRDefault="00463C1A" w:rsidP="00433FF6">
      <w:pPr>
        <w:shd w:val="clear" w:color="auto" w:fill="FFFFFF"/>
        <w:spacing w:after="0" w:line="240" w:lineRule="atLeast"/>
        <w:outlineLvl w:val="0"/>
        <w:rPr>
          <w:rFonts w:ascii="Arial" w:eastAsia="Times New Roman" w:hAnsi="Arial" w:cs="Arial"/>
          <w:color w:val="333333"/>
          <w:kern w:val="36"/>
          <w:sz w:val="38"/>
          <w:szCs w:val="38"/>
          <w:lang w:eastAsia="ru-RU"/>
        </w:rPr>
      </w:pPr>
    </w:p>
    <w:p w:rsidR="00D84A1F" w:rsidRPr="001220A2" w:rsidRDefault="002F5E9F" w:rsidP="00433FF6">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1220A2">
        <w:rPr>
          <w:rFonts w:ascii="Times New Roman" w:eastAsia="Times New Roman" w:hAnsi="Times New Roman" w:cs="Times New Roman"/>
          <w:b/>
          <w:color w:val="333333"/>
          <w:kern w:val="36"/>
          <w:sz w:val="28"/>
          <w:szCs w:val="28"/>
          <w:lang w:eastAsia="ru-RU"/>
        </w:rPr>
        <w:t>Порядок</w:t>
      </w:r>
    </w:p>
    <w:p w:rsidR="002F5E9F" w:rsidRDefault="001220A2" w:rsidP="00433FF6">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463C1A">
        <w:rPr>
          <w:rFonts w:ascii="Times New Roman" w:eastAsia="Times New Roman" w:hAnsi="Times New Roman" w:cs="Times New Roman"/>
          <w:b/>
          <w:sz w:val="28"/>
          <w:szCs w:val="28"/>
          <w:lang w:eastAsia="ru-RU"/>
        </w:rPr>
        <w:t>информационного сопровождения мероприятий по переходу на эффективн</w:t>
      </w:r>
      <w:r w:rsidRPr="001220A2">
        <w:rPr>
          <w:rFonts w:ascii="Times New Roman" w:eastAsia="Times New Roman" w:hAnsi="Times New Roman" w:cs="Times New Roman"/>
          <w:b/>
          <w:sz w:val="28"/>
          <w:szCs w:val="28"/>
          <w:lang w:eastAsia="ru-RU"/>
        </w:rPr>
        <w:t xml:space="preserve">ый контракт </w:t>
      </w:r>
      <w:r w:rsidRPr="00463C1A">
        <w:rPr>
          <w:rFonts w:ascii="Times New Roman" w:eastAsia="Times New Roman" w:hAnsi="Times New Roman" w:cs="Times New Roman"/>
          <w:b/>
          <w:sz w:val="28"/>
          <w:szCs w:val="28"/>
          <w:lang w:eastAsia="ru-RU"/>
        </w:rPr>
        <w:t xml:space="preserve"> с руководителями образовательных организаций</w:t>
      </w:r>
    </w:p>
    <w:p w:rsidR="001220A2" w:rsidRPr="001220A2" w:rsidRDefault="001220A2" w:rsidP="001220A2">
      <w:pPr>
        <w:shd w:val="clear" w:color="auto" w:fill="FFFFFF"/>
        <w:spacing w:after="0" w:line="240" w:lineRule="auto"/>
        <w:jc w:val="both"/>
        <w:outlineLvl w:val="0"/>
        <w:rPr>
          <w:rFonts w:ascii="Times New Roman" w:eastAsia="Times New Roman" w:hAnsi="Times New Roman" w:cs="Times New Roman"/>
          <w:b/>
          <w:color w:val="333333"/>
          <w:kern w:val="36"/>
          <w:sz w:val="28"/>
          <w:szCs w:val="28"/>
          <w:lang w:eastAsia="ru-RU"/>
        </w:rPr>
      </w:pPr>
    </w:p>
    <w:p w:rsidR="00D84A1F" w:rsidRPr="00433FF6" w:rsidRDefault="00D84A1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433FF6">
        <w:rPr>
          <w:rFonts w:ascii="Times New Roman" w:eastAsia="Times New Roman" w:hAnsi="Times New Roman" w:cs="Times New Roman"/>
          <w:b/>
          <w:bCs/>
          <w:sz w:val="28"/>
          <w:szCs w:val="28"/>
          <w:lang w:eastAsia="ru-RU"/>
        </w:rPr>
        <w:t xml:space="preserve">                                                  1. Общие положения</w:t>
      </w:r>
    </w:p>
    <w:p w:rsidR="002F5E9F" w:rsidRPr="00433FF6" w:rsidRDefault="001220A2"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433FF6">
        <w:rPr>
          <w:rFonts w:ascii="Times New Roman" w:eastAsia="Times New Roman" w:hAnsi="Times New Roman" w:cs="Times New Roman"/>
          <w:sz w:val="28"/>
          <w:szCs w:val="28"/>
          <w:lang w:eastAsia="ru-RU"/>
        </w:rPr>
        <w:t>1.1.</w:t>
      </w:r>
      <w:r w:rsidR="00BD1C0D">
        <w:rPr>
          <w:rFonts w:ascii="Times New Roman" w:eastAsia="Times New Roman" w:hAnsi="Times New Roman" w:cs="Times New Roman"/>
          <w:sz w:val="28"/>
          <w:szCs w:val="28"/>
          <w:lang w:eastAsia="ru-RU"/>
        </w:rPr>
        <w:t xml:space="preserve"> </w:t>
      </w:r>
      <w:r w:rsidR="002F5E9F" w:rsidRPr="00433FF6">
        <w:rPr>
          <w:rFonts w:ascii="Times New Roman" w:eastAsia="Times New Roman" w:hAnsi="Times New Roman" w:cs="Times New Roman"/>
          <w:sz w:val="28"/>
          <w:szCs w:val="28"/>
          <w:lang w:eastAsia="ru-RU"/>
        </w:rPr>
        <w:t>Определение эффективного контракта содержится в Программе поэтапного совершенствования системы оплаты труда в государственных (муниципальных) учреждениях на 2012–2018 годы, утв. распоряжением Правительства РФ от 26.11.2012 № 2190-р (далее – Программа совершенствования системы оплаты труда),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1F7951" w:rsidRPr="00433FF6" w:rsidRDefault="001220A2"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433FF6">
        <w:rPr>
          <w:rFonts w:ascii="Times New Roman" w:eastAsia="Times New Roman" w:hAnsi="Times New Roman" w:cs="Times New Roman"/>
          <w:sz w:val="28"/>
          <w:szCs w:val="28"/>
          <w:lang w:eastAsia="ru-RU"/>
        </w:rPr>
        <w:t>1.2.</w:t>
      </w:r>
      <w:r w:rsidR="00BD1C0D">
        <w:rPr>
          <w:rFonts w:ascii="Times New Roman" w:eastAsia="Times New Roman" w:hAnsi="Times New Roman" w:cs="Times New Roman"/>
          <w:sz w:val="28"/>
          <w:szCs w:val="28"/>
          <w:lang w:eastAsia="ru-RU"/>
        </w:rPr>
        <w:t xml:space="preserve"> </w:t>
      </w:r>
      <w:r w:rsidRPr="00433FF6">
        <w:rPr>
          <w:rFonts w:ascii="Times New Roman" w:eastAsia="Times New Roman" w:hAnsi="Times New Roman" w:cs="Times New Roman"/>
          <w:sz w:val="28"/>
          <w:szCs w:val="28"/>
          <w:lang w:eastAsia="ru-RU"/>
        </w:rPr>
        <w:t xml:space="preserve">В </w:t>
      </w:r>
      <w:r w:rsidR="00D84A1F" w:rsidRPr="00433FF6">
        <w:rPr>
          <w:rFonts w:ascii="Times New Roman" w:eastAsia="Times New Roman" w:hAnsi="Times New Roman" w:cs="Times New Roman"/>
          <w:sz w:val="28"/>
          <w:szCs w:val="28"/>
          <w:lang w:eastAsia="ru-RU"/>
        </w:rPr>
        <w:t>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w:t>
      </w:r>
      <w:r w:rsidR="001F7951" w:rsidRPr="00433FF6">
        <w:rPr>
          <w:rFonts w:ascii="Times New Roman" w:eastAsia="Times New Roman" w:hAnsi="Times New Roman" w:cs="Times New Roman"/>
          <w:sz w:val="28"/>
          <w:szCs w:val="28"/>
          <w:lang w:eastAsia="ru-RU"/>
        </w:rPr>
        <w:t xml:space="preserve">. </w:t>
      </w:r>
      <w:r w:rsidR="00D84A1F" w:rsidRPr="00433FF6">
        <w:rPr>
          <w:rFonts w:ascii="Times New Roman" w:eastAsia="Times New Roman" w:hAnsi="Times New Roman" w:cs="Times New Roman"/>
          <w:sz w:val="28"/>
          <w:szCs w:val="28"/>
          <w:lang w:eastAsia="ru-RU"/>
        </w:rPr>
        <w:t>При этом условия получения вознаграждения должны быть понятны работодателю и работнику и не допускать двойного толкования.</w:t>
      </w:r>
    </w:p>
    <w:p w:rsidR="00D84A1F" w:rsidRPr="00433FF6" w:rsidRDefault="001F7951"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433FF6">
        <w:rPr>
          <w:rFonts w:ascii="Times New Roman" w:eastAsia="Times New Roman" w:hAnsi="Times New Roman" w:cs="Times New Roman"/>
          <w:sz w:val="28"/>
          <w:szCs w:val="28"/>
          <w:lang w:eastAsia="ru-RU"/>
        </w:rPr>
        <w:t>1.3.</w:t>
      </w:r>
      <w:r w:rsidR="00D84A1F" w:rsidRPr="00433FF6">
        <w:rPr>
          <w:rFonts w:ascii="Times New Roman" w:eastAsia="Times New Roman" w:hAnsi="Times New Roman" w:cs="Times New Roman"/>
          <w:sz w:val="28"/>
          <w:szCs w:val="28"/>
          <w:lang w:eastAsia="ru-RU"/>
        </w:rPr>
        <w:t xml:space="preserve"> </w:t>
      </w:r>
      <w:r w:rsidRPr="00433FF6">
        <w:rPr>
          <w:rFonts w:ascii="Times New Roman" w:eastAsia="Times New Roman" w:hAnsi="Times New Roman" w:cs="Times New Roman"/>
          <w:sz w:val="28"/>
          <w:szCs w:val="28"/>
          <w:lang w:eastAsia="ru-RU"/>
        </w:rPr>
        <w:t>В</w:t>
      </w:r>
      <w:r w:rsidR="00D84A1F" w:rsidRPr="00433FF6">
        <w:rPr>
          <w:rFonts w:ascii="Times New Roman" w:eastAsia="Times New Roman" w:hAnsi="Times New Roman" w:cs="Times New Roman"/>
          <w:sz w:val="28"/>
          <w:szCs w:val="28"/>
          <w:lang w:eastAsia="ru-RU"/>
        </w:rPr>
        <w:t>ведение эффективного контракта направлено на совершенствование систем оплаты труда в государственных (муниципальных) учреждениях за счет дифференциации оценки деятельности работников.</w:t>
      </w:r>
    </w:p>
    <w:p w:rsidR="007A09CF" w:rsidRPr="00BD1C0D" w:rsidRDefault="007A09CF" w:rsidP="00BD1C0D">
      <w:pPr>
        <w:jc w:val="both"/>
        <w:rPr>
          <w:rFonts w:ascii="Times New Roman" w:hAnsi="Times New Roman" w:cs="Times New Roman"/>
          <w:sz w:val="28"/>
          <w:szCs w:val="28"/>
        </w:rPr>
      </w:pPr>
      <w:r w:rsidRPr="00BD1C0D">
        <w:rPr>
          <w:rFonts w:ascii="Times New Roman" w:hAnsi="Times New Roman" w:cs="Times New Roman"/>
          <w:sz w:val="28"/>
          <w:szCs w:val="28"/>
        </w:rPr>
        <w:t>1.4. В соответствии с федеральным законом от 29 декабря 2012 г. № 280-ФЗ статья 275 Трудового кодекса РФ дополнена положением, согласно которому трудовой договор с руководителем государственного (муниципального) учреждения заключается на основе типовой формы трудового договора, утверждённой Правительством Российской Федерации с учётом мнения Российской трёхсторонней комиссии по регулированию социально-трудовых отношений.</w:t>
      </w:r>
    </w:p>
    <w:p w:rsidR="007A09CF" w:rsidRPr="00433FF6" w:rsidRDefault="007A09CF" w:rsidP="002F5E9F">
      <w:pPr>
        <w:shd w:val="clear" w:color="auto" w:fill="FFFFFF"/>
        <w:spacing w:after="225" w:line="270" w:lineRule="atLeast"/>
        <w:rPr>
          <w:rFonts w:ascii="Times New Roman" w:eastAsia="Times New Roman" w:hAnsi="Times New Roman" w:cs="Times New Roman"/>
          <w:sz w:val="28"/>
          <w:szCs w:val="28"/>
          <w:lang w:eastAsia="ru-RU"/>
        </w:rPr>
      </w:pPr>
    </w:p>
    <w:p w:rsidR="00DD6EC3" w:rsidRPr="00BD1C0D" w:rsidRDefault="00DD6EC3" w:rsidP="00BD1C0D">
      <w:pPr>
        <w:jc w:val="center"/>
        <w:rPr>
          <w:rFonts w:ascii="Times New Roman" w:hAnsi="Times New Roman" w:cs="Times New Roman"/>
          <w:b/>
          <w:sz w:val="28"/>
          <w:szCs w:val="28"/>
        </w:rPr>
      </w:pPr>
      <w:r w:rsidRPr="00BD1C0D">
        <w:rPr>
          <w:rFonts w:ascii="Times New Roman" w:hAnsi="Times New Roman" w:cs="Times New Roman"/>
          <w:b/>
          <w:sz w:val="28"/>
          <w:szCs w:val="28"/>
        </w:rPr>
        <w:t>2. Основания (нормативная база)</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Введение эффективного контракта определено:</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1.  Указом Президента РФ от 7 мая 2012 г. № 597 «О мероприятиях по реализации государственной социальной политики»;</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2. Государственной программой Российской Федерации «Развитие образования» на 2013-2020 годы, утвержденной распоряжением Правительства </w:t>
      </w:r>
      <w:r w:rsidR="00BD1C0D" w:rsidRPr="00BD1C0D">
        <w:rPr>
          <w:rFonts w:ascii="Times New Roman" w:hAnsi="Times New Roman" w:cs="Times New Roman"/>
          <w:sz w:val="28"/>
          <w:szCs w:val="28"/>
        </w:rPr>
        <w:t>РФ от</w:t>
      </w:r>
      <w:r w:rsidRPr="00BD1C0D">
        <w:rPr>
          <w:rFonts w:ascii="Times New Roman" w:hAnsi="Times New Roman" w:cs="Times New Roman"/>
          <w:sz w:val="28"/>
          <w:szCs w:val="28"/>
        </w:rPr>
        <w:t xml:space="preserve"> 15.05.2013 г. № 792-р;</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3. Программой поэтапного совершенствования системы оплаты </w:t>
      </w:r>
      <w:r w:rsidR="00BD1C0D" w:rsidRPr="00BD1C0D">
        <w:rPr>
          <w:rFonts w:ascii="Times New Roman" w:hAnsi="Times New Roman" w:cs="Times New Roman"/>
          <w:sz w:val="28"/>
          <w:szCs w:val="28"/>
        </w:rPr>
        <w:t>труда в</w:t>
      </w:r>
      <w:r w:rsidRPr="00BD1C0D">
        <w:rPr>
          <w:rFonts w:ascii="Times New Roman" w:hAnsi="Times New Roman" w:cs="Times New Roman"/>
          <w:sz w:val="28"/>
          <w:szCs w:val="28"/>
        </w:rPr>
        <w:t xml:space="preserve"> государственных (муниципальных) учреждениях на 2012 — 2018 </w:t>
      </w:r>
      <w:r w:rsidR="00BD1C0D" w:rsidRPr="00BD1C0D">
        <w:rPr>
          <w:rFonts w:ascii="Times New Roman" w:hAnsi="Times New Roman" w:cs="Times New Roman"/>
          <w:sz w:val="28"/>
          <w:szCs w:val="28"/>
        </w:rPr>
        <w:t>годы, утв.</w:t>
      </w:r>
      <w:r w:rsidRPr="00BD1C0D">
        <w:rPr>
          <w:rFonts w:ascii="Times New Roman" w:hAnsi="Times New Roman" w:cs="Times New Roman"/>
          <w:sz w:val="28"/>
          <w:szCs w:val="28"/>
        </w:rPr>
        <w:t>  распоряжением Правительства РФ от 26.11. 2012 г. № 2190-р (далее — Программа);</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4.   Приказом Минтруда России №167н от 26 апреля 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(далее — Рекомендации);</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5.  Письмом </w:t>
      </w:r>
      <w:proofErr w:type="spellStart"/>
      <w:r w:rsidRPr="00BD1C0D">
        <w:rPr>
          <w:rFonts w:ascii="Times New Roman" w:hAnsi="Times New Roman" w:cs="Times New Roman"/>
          <w:sz w:val="28"/>
          <w:szCs w:val="28"/>
        </w:rPr>
        <w:t>Минобрнауки</w:t>
      </w:r>
      <w:proofErr w:type="spellEnd"/>
      <w:r w:rsidRPr="00BD1C0D">
        <w:rPr>
          <w:rFonts w:ascii="Times New Roman" w:hAnsi="Times New Roman" w:cs="Times New Roman"/>
          <w:sz w:val="28"/>
          <w:szCs w:val="28"/>
        </w:rPr>
        <w:t xml:space="preserve"> России от 12 сентября 2013 года № НТ-883/17 «О реализации части 11 статьи 108 Федерального закона от 29 декабря 2012 г. № 273-ФЗ «Об образовании в Российской Федерации»» (далее — Письмо).</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6.</w:t>
      </w:r>
      <w:r w:rsidR="00BD1C0D">
        <w:rPr>
          <w:rFonts w:ascii="Times New Roman" w:hAnsi="Times New Roman" w:cs="Times New Roman"/>
          <w:sz w:val="28"/>
          <w:szCs w:val="28"/>
        </w:rPr>
        <w:t xml:space="preserve"> </w:t>
      </w:r>
      <w:r w:rsidRPr="00BD1C0D">
        <w:rPr>
          <w:rFonts w:ascii="Times New Roman" w:hAnsi="Times New Roman" w:cs="Times New Roman"/>
          <w:sz w:val="28"/>
          <w:szCs w:val="28"/>
        </w:rPr>
        <w:t>Показателями эффективности деятельности подведомственных государственных, муниципальных учреждений образования, утвержденными органами местного самоуправления.</w:t>
      </w:r>
    </w:p>
    <w:p w:rsidR="002F5E9F" w:rsidRPr="00BD1C0D" w:rsidRDefault="00FC1D5C" w:rsidP="00BD1C0D">
      <w:pPr>
        <w:jc w:val="center"/>
        <w:rPr>
          <w:rFonts w:ascii="Times New Roman" w:hAnsi="Times New Roman" w:cs="Times New Roman"/>
          <w:b/>
          <w:sz w:val="28"/>
          <w:szCs w:val="28"/>
        </w:rPr>
      </w:pPr>
      <w:r>
        <w:rPr>
          <w:rFonts w:ascii="Times New Roman" w:hAnsi="Times New Roman" w:cs="Times New Roman"/>
          <w:b/>
          <w:sz w:val="28"/>
          <w:szCs w:val="28"/>
        </w:rPr>
        <w:t>3</w:t>
      </w:r>
      <w:r w:rsidR="00D84A1F" w:rsidRPr="00BD1C0D">
        <w:rPr>
          <w:rFonts w:ascii="Times New Roman" w:hAnsi="Times New Roman" w:cs="Times New Roman"/>
          <w:b/>
          <w:sz w:val="28"/>
          <w:szCs w:val="28"/>
        </w:rPr>
        <w:t>.</w:t>
      </w:r>
      <w:r w:rsidR="00BD1C0D">
        <w:rPr>
          <w:rFonts w:ascii="Times New Roman" w:hAnsi="Times New Roman" w:cs="Times New Roman"/>
          <w:b/>
          <w:sz w:val="28"/>
          <w:szCs w:val="28"/>
        </w:rPr>
        <w:t xml:space="preserve"> </w:t>
      </w:r>
      <w:r w:rsidR="002F5E9F" w:rsidRPr="00BD1C0D">
        <w:rPr>
          <w:rFonts w:ascii="Times New Roman" w:hAnsi="Times New Roman" w:cs="Times New Roman"/>
          <w:b/>
          <w:sz w:val="28"/>
          <w:szCs w:val="28"/>
        </w:rPr>
        <w:t>Цели введения эффективного контракта</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Увязка повышения оплаты труда с достижением конкретных показателей качества оказываемых государственных (муниципальных) услуг на основе:</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введения взаимоувязанной системы отраслевых показателей эффективности;</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установления соответствующих показателям  эффективности стимулирующих выплат, критериев и условий их назначения с отражением в примерных положениях об оплате труда работников учреждений, коллективных договорах, трудовых договорах;</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отмены неэффективных стимулирующих выплат;</w:t>
      </w:r>
    </w:p>
    <w:p w:rsidR="00DD6EC3" w:rsidRPr="00BD1C0D" w:rsidRDefault="00DD6EC3"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использования при оценке достижения конкретных показателей качества и количества оказываемых государственных (муниципальных) услуг (выполнения работ) независимой системы оценки качества работы учреждений, включающей </w:t>
      </w:r>
      <w:r w:rsidRPr="00BD1C0D">
        <w:rPr>
          <w:rFonts w:ascii="Times New Roman" w:hAnsi="Times New Roman" w:cs="Times New Roman"/>
          <w:sz w:val="28"/>
          <w:szCs w:val="28"/>
        </w:rPr>
        <w:lastRenderedPageBreak/>
        <w:t>кроме критериев эффективности их работы и введение публичных рейтингов их деятельности.</w:t>
      </w:r>
    </w:p>
    <w:p w:rsidR="002F5E9F" w:rsidRPr="00BD1C0D" w:rsidRDefault="002F5E9F" w:rsidP="00BD1C0D">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 xml:space="preserve">конкретизация должностных обязанностей; </w:t>
      </w:r>
    </w:p>
    <w:p w:rsidR="002F5E9F" w:rsidRPr="00BD1C0D" w:rsidRDefault="002F5E9F" w:rsidP="00BD1C0D">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 xml:space="preserve">конкретизация условий оплаты труда; </w:t>
      </w:r>
    </w:p>
    <w:p w:rsidR="002F5E9F" w:rsidRPr="00BD1C0D" w:rsidRDefault="002F5E9F" w:rsidP="00BD1C0D">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 xml:space="preserve">конкретизация показателей и критериев оценки эффективности деятельности; </w:t>
      </w:r>
    </w:p>
    <w:p w:rsidR="002F5E9F" w:rsidRPr="00BD1C0D" w:rsidRDefault="002F5E9F" w:rsidP="00BD1C0D">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конкретизация мер социальной поддержки.</w:t>
      </w:r>
    </w:p>
    <w:p w:rsidR="008446B4" w:rsidRDefault="00DD6EC3" w:rsidP="00BD1C0D">
      <w:pPr>
        <w:shd w:val="clear" w:color="auto" w:fill="FFFFFF"/>
        <w:spacing w:after="0" w:line="300" w:lineRule="atLeast"/>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 xml:space="preserve">В соответствие с государственной </w:t>
      </w:r>
      <w:r w:rsidR="00BD1C0D" w:rsidRPr="00BD1C0D">
        <w:rPr>
          <w:rFonts w:ascii="Times New Roman" w:eastAsia="Times New Roman" w:hAnsi="Times New Roman" w:cs="Times New Roman"/>
          <w:sz w:val="28"/>
          <w:szCs w:val="28"/>
          <w:lang w:eastAsia="ru-RU"/>
        </w:rPr>
        <w:t>программой Российской</w:t>
      </w:r>
      <w:r w:rsidR="002F5E9F" w:rsidRPr="00BD1C0D">
        <w:rPr>
          <w:rFonts w:ascii="Times New Roman" w:eastAsia="Times New Roman" w:hAnsi="Times New Roman" w:cs="Times New Roman"/>
          <w:sz w:val="28"/>
          <w:szCs w:val="28"/>
          <w:lang w:eastAsia="ru-RU"/>
        </w:rPr>
        <w:t xml:space="preserve"> Федерации "Развитие образован</w:t>
      </w:r>
      <w:r w:rsidR="00BD1C0D">
        <w:rPr>
          <w:rFonts w:ascii="Times New Roman" w:eastAsia="Times New Roman" w:hAnsi="Times New Roman" w:cs="Times New Roman"/>
          <w:sz w:val="28"/>
          <w:szCs w:val="28"/>
          <w:lang w:eastAsia="ru-RU"/>
        </w:rPr>
        <w:t>ия" на 2013–2020 годы, утв. по</w:t>
      </w:r>
      <w:r w:rsidR="002F5E9F" w:rsidRPr="00BD1C0D">
        <w:rPr>
          <w:rFonts w:ascii="Times New Roman" w:eastAsia="Times New Roman" w:hAnsi="Times New Roman" w:cs="Times New Roman"/>
          <w:sz w:val="28"/>
          <w:szCs w:val="28"/>
          <w:lang w:eastAsia="ru-RU"/>
        </w:rPr>
        <w:t>становлением Правительства РФ от 15.04.2014 № 295, эффективный контракт в образовании – это механизм "увязки" заработной платы с качеством и результатами педагогической работы.</w:t>
      </w:r>
    </w:p>
    <w:p w:rsidR="00BD1C0D" w:rsidRPr="00BD1C0D" w:rsidRDefault="00BD1C0D" w:rsidP="00BD1C0D">
      <w:pPr>
        <w:shd w:val="clear" w:color="auto" w:fill="FFFFFF"/>
        <w:spacing w:after="0" w:line="300" w:lineRule="atLeast"/>
        <w:rPr>
          <w:rFonts w:ascii="Times New Roman" w:eastAsia="Times New Roman" w:hAnsi="Times New Roman" w:cs="Times New Roman"/>
          <w:b/>
          <w:sz w:val="28"/>
          <w:szCs w:val="28"/>
          <w:lang w:eastAsia="ru-RU"/>
        </w:rPr>
      </w:pPr>
    </w:p>
    <w:p w:rsidR="008446B4" w:rsidRPr="00BD1C0D" w:rsidRDefault="00FC1D5C" w:rsidP="00BD1C0D">
      <w:pPr>
        <w:jc w:val="center"/>
        <w:rPr>
          <w:rFonts w:ascii="Times New Roman" w:hAnsi="Times New Roman" w:cs="Times New Roman"/>
          <w:b/>
          <w:sz w:val="28"/>
          <w:szCs w:val="28"/>
        </w:rPr>
      </w:pPr>
      <w:r>
        <w:rPr>
          <w:rFonts w:ascii="Times New Roman" w:hAnsi="Times New Roman" w:cs="Times New Roman"/>
          <w:b/>
          <w:sz w:val="28"/>
          <w:szCs w:val="28"/>
        </w:rPr>
        <w:t>4</w:t>
      </w:r>
      <w:r w:rsidR="008446B4" w:rsidRPr="00BD1C0D">
        <w:rPr>
          <w:rFonts w:ascii="Times New Roman" w:hAnsi="Times New Roman" w:cs="Times New Roman"/>
          <w:b/>
          <w:sz w:val="28"/>
          <w:szCs w:val="28"/>
        </w:rPr>
        <w:t>. Организация работы по переходу на эффективный контракт</w:t>
      </w:r>
    </w:p>
    <w:p w:rsidR="008446B4" w:rsidRPr="00BD1C0D" w:rsidRDefault="00BD1C0D" w:rsidP="00BD1C0D">
      <w:pPr>
        <w:jc w:val="both"/>
        <w:rPr>
          <w:rFonts w:ascii="Times New Roman" w:hAnsi="Times New Roman" w:cs="Times New Roman"/>
          <w:sz w:val="28"/>
          <w:szCs w:val="28"/>
        </w:rPr>
      </w:pPr>
      <w:r w:rsidRPr="00BD1C0D">
        <w:rPr>
          <w:rFonts w:ascii="Times New Roman" w:hAnsi="Times New Roman" w:cs="Times New Roman"/>
          <w:sz w:val="28"/>
          <w:szCs w:val="28"/>
        </w:rPr>
        <w:t>Проведение разъяснительной</w:t>
      </w:r>
      <w:r w:rsidR="008446B4" w:rsidRPr="00BD1C0D">
        <w:rPr>
          <w:rFonts w:ascii="Times New Roman" w:hAnsi="Times New Roman" w:cs="Times New Roman"/>
          <w:sz w:val="28"/>
          <w:szCs w:val="28"/>
        </w:rPr>
        <w:t xml:space="preserve"> работы по вопросам введения эффективного контракта с руководителем.</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Создание комиссии по проведению работы, связанной с введением эффективного контракта.</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Анализ действующих трудовых договоров работников на предмет их соответствия ст. 57 Трудового кодекса РФ и приказу Минтруда России от 24.04.2013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Разработка показателей эффективности труда руководителей.</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Принятие локальных нормативных актов, связанных с оплатой труда работника, с учетом мнения первичной профсоюзной организации.</w:t>
      </w:r>
    </w:p>
    <w:p w:rsidR="008446B4" w:rsidRPr="00BD1C0D" w:rsidRDefault="00BD1C0D" w:rsidP="00BD1C0D">
      <w:pPr>
        <w:jc w:val="both"/>
        <w:rPr>
          <w:rFonts w:ascii="Times New Roman" w:hAnsi="Times New Roman" w:cs="Times New Roman"/>
          <w:sz w:val="28"/>
          <w:szCs w:val="28"/>
        </w:rPr>
      </w:pPr>
      <w:r w:rsidRPr="00BD1C0D">
        <w:rPr>
          <w:rFonts w:ascii="Times New Roman" w:hAnsi="Times New Roman" w:cs="Times New Roman"/>
          <w:sz w:val="28"/>
          <w:szCs w:val="28"/>
        </w:rPr>
        <w:t>Конкретизация трудовой</w:t>
      </w:r>
      <w:r w:rsidR="008446B4" w:rsidRPr="00BD1C0D">
        <w:rPr>
          <w:rFonts w:ascii="Times New Roman" w:hAnsi="Times New Roman" w:cs="Times New Roman"/>
          <w:sz w:val="28"/>
          <w:szCs w:val="28"/>
        </w:rPr>
        <w:t xml:space="preserve"> функции и условий оплаты труда работника.</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Подготовка и внесение изменений</w:t>
      </w:r>
      <w:r w:rsidR="00BD1C0D">
        <w:rPr>
          <w:rFonts w:ascii="Times New Roman" w:hAnsi="Times New Roman" w:cs="Times New Roman"/>
          <w:sz w:val="28"/>
          <w:szCs w:val="28"/>
        </w:rPr>
        <w:t xml:space="preserve"> в трудовые договоры работников</w:t>
      </w:r>
      <w:r w:rsidRPr="00BD1C0D">
        <w:rPr>
          <w:rFonts w:ascii="Times New Roman" w:hAnsi="Times New Roman" w:cs="Times New Roman"/>
          <w:sz w:val="28"/>
          <w:szCs w:val="28"/>
        </w:rPr>
        <w:t xml:space="preserve">, заключение дополнительного соглашения к трудовому договору в порядке, </w:t>
      </w:r>
      <w:r w:rsidR="00BD1C0D" w:rsidRPr="00BD1C0D">
        <w:rPr>
          <w:rFonts w:ascii="Times New Roman" w:hAnsi="Times New Roman" w:cs="Times New Roman"/>
          <w:sz w:val="28"/>
          <w:szCs w:val="28"/>
        </w:rPr>
        <w:t>установленном ТК</w:t>
      </w:r>
      <w:r w:rsidRPr="00BD1C0D">
        <w:rPr>
          <w:rFonts w:ascii="Times New Roman" w:hAnsi="Times New Roman" w:cs="Times New Roman"/>
          <w:sz w:val="28"/>
          <w:szCs w:val="28"/>
        </w:rPr>
        <w:t xml:space="preserve"> РФ.</w:t>
      </w:r>
    </w:p>
    <w:p w:rsidR="008446B4" w:rsidRPr="00BD1C0D" w:rsidRDefault="00BD1C0D" w:rsidP="00BD1C0D">
      <w:pPr>
        <w:jc w:val="both"/>
        <w:rPr>
          <w:rFonts w:ascii="Times New Roman" w:hAnsi="Times New Roman" w:cs="Times New Roman"/>
          <w:sz w:val="28"/>
          <w:szCs w:val="28"/>
        </w:rPr>
      </w:pPr>
      <w:r w:rsidRPr="00BD1C0D">
        <w:rPr>
          <w:rFonts w:ascii="Times New Roman" w:hAnsi="Times New Roman" w:cs="Times New Roman"/>
          <w:sz w:val="28"/>
          <w:szCs w:val="28"/>
        </w:rPr>
        <w:t>Уведомление работников</w:t>
      </w:r>
      <w:r w:rsidR="008446B4" w:rsidRPr="00BD1C0D">
        <w:rPr>
          <w:rFonts w:ascii="Times New Roman" w:hAnsi="Times New Roman" w:cs="Times New Roman"/>
          <w:sz w:val="28"/>
          <w:szCs w:val="28"/>
        </w:rPr>
        <w:t xml:space="preserve"> об изменении определенных условий трудового договора в письменной форме не менее чем за два месяца согласно ст.74 Трудового кодекса РФ.</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Работа по введению эффективного контракта должна проводиться в обстановке гласности и обсуждения в трудовом коллективе.</w:t>
      </w:r>
    </w:p>
    <w:p w:rsidR="008446B4" w:rsidRPr="00BD1C0D" w:rsidRDefault="008446B4" w:rsidP="00BD1C0D">
      <w:pPr>
        <w:jc w:val="both"/>
        <w:rPr>
          <w:rFonts w:ascii="Times New Roman" w:hAnsi="Times New Roman" w:cs="Times New Roman"/>
          <w:sz w:val="28"/>
          <w:szCs w:val="28"/>
        </w:rPr>
      </w:pPr>
    </w:p>
    <w:p w:rsidR="002F5E9F" w:rsidRPr="00BD1C0D" w:rsidRDefault="00FC1D5C" w:rsidP="00BD1C0D">
      <w:pPr>
        <w:jc w:val="center"/>
        <w:rPr>
          <w:rFonts w:ascii="Times New Roman" w:hAnsi="Times New Roman" w:cs="Times New Roman"/>
          <w:b/>
          <w:sz w:val="28"/>
          <w:szCs w:val="28"/>
        </w:rPr>
      </w:pPr>
      <w:r>
        <w:rPr>
          <w:rFonts w:ascii="Times New Roman" w:hAnsi="Times New Roman" w:cs="Times New Roman"/>
          <w:b/>
          <w:sz w:val="28"/>
          <w:szCs w:val="28"/>
        </w:rPr>
        <w:t>5</w:t>
      </w:r>
      <w:r w:rsidR="00D84A1F" w:rsidRPr="00BD1C0D">
        <w:rPr>
          <w:rFonts w:ascii="Times New Roman" w:hAnsi="Times New Roman" w:cs="Times New Roman"/>
          <w:b/>
          <w:sz w:val="28"/>
          <w:szCs w:val="28"/>
        </w:rPr>
        <w:t>.</w:t>
      </w:r>
      <w:r w:rsidR="00BD1C0D" w:rsidRPr="00BD1C0D">
        <w:rPr>
          <w:rFonts w:ascii="Times New Roman" w:hAnsi="Times New Roman" w:cs="Times New Roman"/>
          <w:b/>
          <w:sz w:val="28"/>
          <w:szCs w:val="28"/>
        </w:rPr>
        <w:t xml:space="preserve"> </w:t>
      </w:r>
      <w:r w:rsidR="002F5E9F" w:rsidRPr="00BD1C0D">
        <w:rPr>
          <w:rFonts w:ascii="Times New Roman" w:hAnsi="Times New Roman" w:cs="Times New Roman"/>
          <w:b/>
          <w:sz w:val="28"/>
          <w:szCs w:val="28"/>
        </w:rPr>
        <w:t>Внесение изменений в трудовой договор</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lastRenderedPageBreak/>
        <w:t>В эффективном контракте в отношении каждого работника должны быть уточнены и конкретизированы:</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t>1.Трудовая функция;</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t>2.Показатели и критерии оценки эффективности деятельности;</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3. </w:t>
      </w:r>
      <w:r w:rsidR="00BD1C0D" w:rsidRPr="00BD1C0D">
        <w:rPr>
          <w:rFonts w:ascii="Times New Roman" w:hAnsi="Times New Roman" w:cs="Times New Roman"/>
          <w:sz w:val="28"/>
          <w:szCs w:val="28"/>
        </w:rPr>
        <w:t>Размер и</w:t>
      </w:r>
      <w:r w:rsidRPr="00BD1C0D">
        <w:rPr>
          <w:rFonts w:ascii="Times New Roman" w:hAnsi="Times New Roman" w:cs="Times New Roman"/>
          <w:sz w:val="28"/>
          <w:szCs w:val="28"/>
        </w:rPr>
        <w:t xml:space="preserve"> условия стимулирующих </w:t>
      </w:r>
      <w:r w:rsidR="00BD1C0D" w:rsidRPr="00BD1C0D">
        <w:rPr>
          <w:rFonts w:ascii="Times New Roman" w:hAnsi="Times New Roman" w:cs="Times New Roman"/>
          <w:sz w:val="28"/>
          <w:szCs w:val="28"/>
        </w:rPr>
        <w:t>выплат, определенные</w:t>
      </w:r>
      <w:r w:rsidRPr="00BD1C0D">
        <w:rPr>
          <w:rFonts w:ascii="Times New Roman" w:hAnsi="Times New Roman" w:cs="Times New Roman"/>
          <w:sz w:val="28"/>
          <w:szCs w:val="28"/>
        </w:rPr>
        <w:t xml:space="preserve"> с учетом рекомендуемых показателей.</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t>При этом условия получения вознаграждения должны быть понятны работодателю и работнику и не допускать двойного толкования. Непосредственно в тексте трудового договора должностные обязанности работника должны быть отражены с учетом действующих обязанностей, установленных должностной инструкцией.</w:t>
      </w:r>
    </w:p>
    <w:p w:rsidR="003C0CC2" w:rsidRPr="00BD1C0D" w:rsidRDefault="003C0CC2"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Обязательными условиями, включаемыми в трудовые договоры, являются </w:t>
      </w:r>
      <w:r w:rsidR="00BD1C0D" w:rsidRPr="00BD1C0D">
        <w:rPr>
          <w:rFonts w:ascii="Times New Roman" w:hAnsi="Times New Roman" w:cs="Times New Roman"/>
          <w:sz w:val="28"/>
          <w:szCs w:val="28"/>
        </w:rPr>
        <w:t>также условия</w:t>
      </w:r>
      <w:r w:rsidRPr="00BD1C0D">
        <w:rPr>
          <w:rFonts w:ascii="Times New Roman" w:hAnsi="Times New Roman" w:cs="Times New Roman"/>
          <w:sz w:val="28"/>
          <w:szCs w:val="28"/>
        </w:rPr>
        <w:t xml:space="preserve"> оплаты труда (в том числе размер тарифной ставки или оклада (должностного оклада) работника, доплаты, надбавки и поощрительные выплаты). Эффективный контракт предполагает также установление норм труда.</w:t>
      </w:r>
    </w:p>
    <w:p w:rsidR="002F5E9F" w:rsidRPr="00BD1C0D" w:rsidRDefault="00D84A1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Э</w:t>
      </w:r>
      <w:r w:rsidR="002F5E9F" w:rsidRPr="00BD1C0D">
        <w:rPr>
          <w:rFonts w:ascii="Times New Roman" w:eastAsia="Times New Roman" w:hAnsi="Times New Roman" w:cs="Times New Roman"/>
          <w:sz w:val="28"/>
          <w:szCs w:val="28"/>
          <w:lang w:eastAsia="ru-RU"/>
        </w:rPr>
        <w:t xml:space="preserve">ффективный </w:t>
      </w:r>
      <w:r w:rsidR="00BD1C0D" w:rsidRPr="00BD1C0D">
        <w:rPr>
          <w:rFonts w:ascii="Times New Roman" w:eastAsia="Times New Roman" w:hAnsi="Times New Roman" w:cs="Times New Roman"/>
          <w:sz w:val="28"/>
          <w:szCs w:val="28"/>
          <w:lang w:eastAsia="ru-RU"/>
        </w:rPr>
        <w:t>контракт является</w:t>
      </w:r>
      <w:r w:rsidR="002F5E9F" w:rsidRPr="00BD1C0D">
        <w:rPr>
          <w:rFonts w:ascii="Times New Roman" w:eastAsia="Times New Roman" w:hAnsi="Times New Roman" w:cs="Times New Roman"/>
          <w:sz w:val="28"/>
          <w:szCs w:val="28"/>
          <w:lang w:eastAsia="ru-RU"/>
        </w:rPr>
        <w:t xml:space="preserve"> трудовым договором, на него распространяются все нормы трудового законодательства, предусмотренные для такого договора. В первую очередь это относится к нормам ст. 57 Трудового кодекса Российской Федерации от 30.12.2001 № 197-ФЗ (далее – ТК РФ).</w:t>
      </w:r>
    </w:p>
    <w:p w:rsidR="002F5E9F" w:rsidRPr="00BD1C0D" w:rsidRDefault="002F5E9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В соответствии с данной статьей условия оплаты труда (в т. ч. размер тарифной ставки или оклада (должностного оклада) работника, доплаты, надбавки и поощрительные выплаты) являются обязательным условием трудового договора и, следовательно, должны содержаться в уже заключенных трудовых договорах.</w:t>
      </w:r>
    </w:p>
    <w:p w:rsidR="002F5E9F" w:rsidRPr="00BD1C0D" w:rsidRDefault="00D84A1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П</w:t>
      </w:r>
      <w:r w:rsidR="002F5E9F" w:rsidRPr="00BD1C0D">
        <w:rPr>
          <w:rFonts w:ascii="Times New Roman" w:eastAsia="Times New Roman" w:hAnsi="Times New Roman" w:cs="Times New Roman"/>
          <w:sz w:val="28"/>
          <w:szCs w:val="28"/>
          <w:lang w:eastAsia="ru-RU"/>
        </w:rPr>
        <w:t>рименение эффективного контракта направлено на совершенствование систем оплаты труда, при его введении условия заключенных трудовых договоров должны быть изменены.</w:t>
      </w:r>
    </w:p>
    <w:p w:rsidR="00D84A1F" w:rsidRPr="00BD1C0D" w:rsidRDefault="00D84A1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П</w:t>
      </w:r>
      <w:r w:rsidR="002F5E9F" w:rsidRPr="00BD1C0D">
        <w:rPr>
          <w:rFonts w:ascii="Times New Roman" w:eastAsia="Times New Roman" w:hAnsi="Times New Roman" w:cs="Times New Roman"/>
          <w:sz w:val="28"/>
          <w:szCs w:val="28"/>
          <w:lang w:eastAsia="ru-RU"/>
        </w:rPr>
        <w:t xml:space="preserve">ри введении механизма эффективного контракта в государственном (муниципальном) учреждении необходимо заключить с каждым работником дополнительное </w:t>
      </w:r>
      <w:r w:rsidRPr="00BD1C0D">
        <w:rPr>
          <w:rFonts w:ascii="Times New Roman" w:eastAsia="Times New Roman" w:hAnsi="Times New Roman" w:cs="Times New Roman"/>
          <w:sz w:val="28"/>
          <w:szCs w:val="28"/>
          <w:lang w:eastAsia="ru-RU"/>
        </w:rPr>
        <w:t>соглашение к трудовому договору.</w:t>
      </w:r>
      <w:r w:rsidR="001F7951" w:rsidRPr="00BD1C0D">
        <w:rPr>
          <w:rFonts w:ascii="Times New Roman" w:eastAsia="Times New Roman" w:hAnsi="Times New Roman" w:cs="Times New Roman"/>
          <w:sz w:val="28"/>
          <w:szCs w:val="28"/>
          <w:lang w:eastAsia="ru-RU"/>
        </w:rPr>
        <w:t xml:space="preserve"> </w:t>
      </w:r>
      <w:r w:rsidR="001F7951" w:rsidRPr="00BD1C0D">
        <w:rPr>
          <w:rFonts w:ascii="Times New Roman" w:eastAsia="Times New Roman" w:hAnsi="Times New Roman" w:cs="Times New Roman"/>
          <w:b/>
          <w:sz w:val="28"/>
          <w:szCs w:val="28"/>
          <w:lang w:eastAsia="ru-RU"/>
        </w:rPr>
        <w:t>(Приложение)</w:t>
      </w:r>
    </w:p>
    <w:p w:rsidR="002F5E9F" w:rsidRDefault="002F5E9F" w:rsidP="00BD1C0D">
      <w:pPr>
        <w:shd w:val="clear" w:color="auto" w:fill="FFFFFF"/>
        <w:spacing w:after="225" w:line="270" w:lineRule="atLeast"/>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Согласно ст. 72 ТК РФ изменение определенных сторонами условий трудового договора, в т. ч. перевод на другую работу, допускается только по соглашению сторон трудового договора, за исключением случаев, предусмотренных ТК РФ. При этом следует учесть, что работник может не согласиться на изменение условий трудового договора. В таком случае работодателю придется делать это в одностороннем порядке.</w:t>
      </w:r>
    </w:p>
    <w:p w:rsidR="00BD1C0D" w:rsidRPr="00BD1C0D" w:rsidRDefault="00BD1C0D" w:rsidP="00BD1C0D">
      <w:pPr>
        <w:shd w:val="clear" w:color="auto" w:fill="FFFFFF"/>
        <w:spacing w:after="225" w:line="270" w:lineRule="atLeast"/>
        <w:jc w:val="both"/>
        <w:rPr>
          <w:rFonts w:ascii="Times New Roman" w:eastAsia="Times New Roman" w:hAnsi="Times New Roman" w:cs="Times New Roman"/>
          <w:sz w:val="28"/>
          <w:szCs w:val="28"/>
          <w:lang w:eastAsia="ru-RU"/>
        </w:rPr>
      </w:pPr>
    </w:p>
    <w:p w:rsidR="00D019E9" w:rsidRPr="00BD1C0D" w:rsidRDefault="00FC1D5C" w:rsidP="00BD1C0D">
      <w:pPr>
        <w:jc w:val="center"/>
        <w:rPr>
          <w:rFonts w:ascii="Times New Roman" w:hAnsi="Times New Roman" w:cs="Times New Roman"/>
          <w:b/>
          <w:sz w:val="28"/>
          <w:szCs w:val="28"/>
        </w:rPr>
      </w:pPr>
      <w:r>
        <w:rPr>
          <w:rFonts w:ascii="Times New Roman" w:hAnsi="Times New Roman" w:cs="Times New Roman"/>
          <w:b/>
          <w:sz w:val="28"/>
          <w:szCs w:val="28"/>
        </w:rPr>
        <w:t>6</w:t>
      </w:r>
      <w:r w:rsidR="003C0CC2" w:rsidRPr="00BD1C0D">
        <w:rPr>
          <w:rFonts w:ascii="Times New Roman" w:hAnsi="Times New Roman" w:cs="Times New Roman"/>
          <w:b/>
          <w:sz w:val="28"/>
          <w:szCs w:val="28"/>
        </w:rPr>
        <w:t>. О стимулирующих и компенсационных выплатах</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lastRenderedPageBreak/>
        <w:t>Приказом Минтруда России №167н от 26 апреля 2013 г. в системах оплаты труда,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а) выплаты за интенсивность и высокие результаты работы:</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надбавка за интенсивность труда;</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за высокие результаты работы;</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за выполнение особо важных и ответственных работ;</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б) выплаты за качество выполняемых работ:</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надбавка за наличие квалификационной категории;</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за образцовое выполнение государственного (муниципального) задания;</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в) выплаты за стаж непрерывной работы, выслугу лет:</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надбавка за выслугу лет;</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надбавка за стаж непрерывной работы;</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г) премиальные выплаты по итогам работы:</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по итогам работы за месяц;</w:t>
      </w:r>
    </w:p>
    <w:p w:rsidR="008446B4" w:rsidRPr="00BD1C0D"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по итогам работы за квартал;</w:t>
      </w:r>
    </w:p>
    <w:p w:rsidR="008446B4" w:rsidRDefault="008446B4" w:rsidP="00BD1C0D">
      <w:pPr>
        <w:jc w:val="both"/>
        <w:rPr>
          <w:rFonts w:ascii="Times New Roman" w:hAnsi="Times New Roman" w:cs="Times New Roman"/>
          <w:sz w:val="28"/>
          <w:szCs w:val="28"/>
        </w:rPr>
      </w:pPr>
      <w:r w:rsidRPr="00BD1C0D">
        <w:rPr>
          <w:rFonts w:ascii="Times New Roman" w:hAnsi="Times New Roman" w:cs="Times New Roman"/>
          <w:sz w:val="28"/>
          <w:szCs w:val="28"/>
        </w:rPr>
        <w:t>премия по итогам работы за год;</w:t>
      </w:r>
    </w:p>
    <w:p w:rsidR="00BD1C0D" w:rsidRPr="00FC1D5C" w:rsidRDefault="00FC1D5C" w:rsidP="00FC1D5C">
      <w:pPr>
        <w:jc w:val="right"/>
        <w:rPr>
          <w:rFonts w:ascii="Times New Roman" w:hAnsi="Times New Roman" w:cs="Times New Roman"/>
          <w:b/>
          <w:sz w:val="28"/>
          <w:szCs w:val="28"/>
        </w:rPr>
      </w:pPr>
      <w:r w:rsidRPr="00FC1D5C">
        <w:rPr>
          <w:rFonts w:ascii="Times New Roman" w:hAnsi="Times New Roman" w:cs="Times New Roman"/>
          <w:b/>
          <w:sz w:val="28"/>
          <w:szCs w:val="28"/>
        </w:rPr>
        <w:t>Приложение к Порядку</w:t>
      </w:r>
    </w:p>
    <w:p w:rsidR="003C0CC2" w:rsidRPr="00BD1C0D" w:rsidRDefault="003C0CC2" w:rsidP="00BD1C0D">
      <w:pPr>
        <w:ind w:firstLine="708"/>
        <w:jc w:val="both"/>
        <w:rPr>
          <w:rFonts w:ascii="Times New Roman" w:hAnsi="Times New Roman" w:cs="Times New Roman"/>
          <w:sz w:val="28"/>
          <w:szCs w:val="28"/>
        </w:rPr>
      </w:pPr>
      <w:r w:rsidRPr="003C0CC2">
        <w:rPr>
          <w:rFonts w:ascii="Times New Roman" w:hAnsi="Times New Roman" w:cs="Times New Roman"/>
          <w:sz w:val="28"/>
          <w:szCs w:val="28"/>
        </w:rPr>
        <w:t>В качестве поощрения руководителю устанавливаются следующие выплаты стимулирующего характера:</w:t>
      </w:r>
    </w:p>
    <w:tbl>
      <w:tblPr>
        <w:tblStyle w:val="a7"/>
        <w:tblW w:w="9918" w:type="dxa"/>
        <w:tblLook w:val="04A0" w:firstRow="1" w:lastRow="0" w:firstColumn="1" w:lastColumn="0" w:noHBand="0" w:noVBand="1"/>
      </w:tblPr>
      <w:tblGrid>
        <w:gridCol w:w="2122"/>
        <w:gridCol w:w="5670"/>
        <w:gridCol w:w="2126"/>
      </w:tblGrid>
      <w:tr w:rsidR="003C0CC2" w:rsidRPr="007A09CF" w:rsidTr="00442171">
        <w:tc>
          <w:tcPr>
            <w:tcW w:w="2122" w:type="dxa"/>
          </w:tcPr>
          <w:p w:rsidR="003C0CC2" w:rsidRPr="007A09CF" w:rsidRDefault="003C0CC2" w:rsidP="00442171">
            <w:pPr>
              <w:jc w:val="center"/>
              <w:rPr>
                <w:sz w:val="28"/>
                <w:szCs w:val="28"/>
              </w:rPr>
            </w:pPr>
            <w:r w:rsidRPr="007A09CF">
              <w:rPr>
                <w:sz w:val="28"/>
                <w:szCs w:val="28"/>
              </w:rPr>
              <w:t>Наименование выплаты</w:t>
            </w:r>
          </w:p>
        </w:tc>
        <w:tc>
          <w:tcPr>
            <w:tcW w:w="5670" w:type="dxa"/>
          </w:tcPr>
          <w:p w:rsidR="003C0CC2" w:rsidRPr="007A09CF" w:rsidRDefault="003C0CC2" w:rsidP="00442171">
            <w:pPr>
              <w:jc w:val="center"/>
              <w:rPr>
                <w:sz w:val="28"/>
                <w:szCs w:val="28"/>
              </w:rPr>
            </w:pPr>
            <w:r w:rsidRPr="007A09CF">
              <w:rPr>
                <w:sz w:val="28"/>
                <w:szCs w:val="28"/>
              </w:rPr>
              <w:t>Условия осуществления выплаты</w:t>
            </w:r>
          </w:p>
        </w:tc>
        <w:tc>
          <w:tcPr>
            <w:tcW w:w="2126" w:type="dxa"/>
          </w:tcPr>
          <w:p w:rsidR="003C0CC2" w:rsidRPr="007A09CF" w:rsidRDefault="003C0CC2" w:rsidP="00442171">
            <w:pPr>
              <w:jc w:val="center"/>
              <w:rPr>
                <w:sz w:val="28"/>
                <w:szCs w:val="28"/>
              </w:rPr>
            </w:pPr>
            <w:r w:rsidRPr="007A09CF">
              <w:rPr>
                <w:sz w:val="28"/>
                <w:szCs w:val="28"/>
              </w:rPr>
              <w:t>Размер выплаты при достижении условий ее осуществления (в процентах от должностного оклада)</w:t>
            </w:r>
          </w:p>
        </w:tc>
      </w:tr>
      <w:tr w:rsidR="003C0CC2" w:rsidRPr="007A09CF" w:rsidTr="00442171">
        <w:tc>
          <w:tcPr>
            <w:tcW w:w="2122" w:type="dxa"/>
            <w:vMerge w:val="restart"/>
          </w:tcPr>
          <w:p w:rsidR="003C0CC2" w:rsidRPr="007A09CF" w:rsidRDefault="003C0CC2" w:rsidP="00442171">
            <w:pPr>
              <w:jc w:val="center"/>
              <w:rPr>
                <w:sz w:val="28"/>
                <w:szCs w:val="28"/>
              </w:rPr>
            </w:pPr>
            <w:r w:rsidRPr="007A09CF">
              <w:rPr>
                <w:sz w:val="28"/>
                <w:szCs w:val="28"/>
              </w:rPr>
              <w:t>Надбавка за интенсивность</w:t>
            </w:r>
          </w:p>
        </w:tc>
        <w:tc>
          <w:tcPr>
            <w:tcW w:w="5670" w:type="dxa"/>
          </w:tcPr>
          <w:p w:rsidR="003C0CC2" w:rsidRPr="007A09CF" w:rsidRDefault="003C0CC2" w:rsidP="00442171">
            <w:pPr>
              <w:jc w:val="center"/>
              <w:rPr>
                <w:sz w:val="28"/>
                <w:szCs w:val="28"/>
              </w:rPr>
            </w:pPr>
            <w:r w:rsidRPr="007A09CF">
              <w:rPr>
                <w:sz w:val="28"/>
                <w:szCs w:val="28"/>
              </w:rPr>
              <w:t>Статус школы: базовая школа (центр школьного округа)</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Школа-ресурсный центр</w:t>
            </w:r>
          </w:p>
        </w:tc>
        <w:tc>
          <w:tcPr>
            <w:tcW w:w="2126" w:type="dxa"/>
          </w:tcPr>
          <w:p w:rsidR="003C0CC2" w:rsidRPr="007A09CF" w:rsidRDefault="003C0CC2" w:rsidP="00442171">
            <w:pPr>
              <w:jc w:val="center"/>
              <w:rPr>
                <w:sz w:val="28"/>
                <w:szCs w:val="28"/>
              </w:rPr>
            </w:pPr>
            <w:r w:rsidRPr="007A09CF">
              <w:rPr>
                <w:sz w:val="28"/>
                <w:szCs w:val="28"/>
              </w:rPr>
              <w:t>7%</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филиала</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котельной</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школьного автобуса</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дошкольных групп</w:t>
            </w:r>
          </w:p>
        </w:tc>
        <w:tc>
          <w:tcPr>
            <w:tcW w:w="2126" w:type="dxa"/>
          </w:tcPr>
          <w:p w:rsidR="003C0CC2" w:rsidRPr="007A09CF" w:rsidRDefault="003C0CC2" w:rsidP="00442171">
            <w:pPr>
              <w:jc w:val="center"/>
              <w:rPr>
                <w:sz w:val="28"/>
                <w:szCs w:val="28"/>
              </w:rPr>
            </w:pPr>
            <w:r w:rsidRPr="007A09CF">
              <w:rPr>
                <w:sz w:val="28"/>
                <w:szCs w:val="28"/>
              </w:rPr>
              <w:t>15%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интерната</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Средняя наполняемость класса: сельская школа – не менее 6 чел., городская школа – не менее 22 чел.</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профильного обучения,</w:t>
            </w:r>
          </w:p>
        </w:tc>
        <w:tc>
          <w:tcPr>
            <w:tcW w:w="2126" w:type="dxa"/>
          </w:tcPr>
          <w:p w:rsidR="003C0CC2" w:rsidRPr="007A09CF" w:rsidRDefault="003C0CC2" w:rsidP="00442171">
            <w:pPr>
              <w:jc w:val="center"/>
              <w:rPr>
                <w:sz w:val="28"/>
                <w:szCs w:val="28"/>
              </w:rPr>
            </w:pPr>
            <w:r w:rsidRPr="007A09CF">
              <w:rPr>
                <w:sz w:val="28"/>
                <w:szCs w:val="28"/>
              </w:rPr>
              <w:t>7%</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Индивидуальных планов</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в школе экспериментальной площадки уровня образовательного учреждения</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в школе экспериментальной площадки муниципального уровня</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Наличие в школе экспериментальной площадки регионального уровня</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Высокий уровень благоустройства территории, эстетика оформления образовательного учреждения (по итогам приемки к новому учебному году)</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Средний уровень благоустройства территории, эстетика оформления образовательного учреждения (по итогам приемки к новому учебному году)</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Организация физкультурно-оздоровительной и спортивной работы</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Функционирование системы государственно-общественного управления</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Реализация социокультурных проектов (школьный музей, театр, детские общественные организации, НОУ и т.д.)</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val="restart"/>
          </w:tcPr>
          <w:p w:rsidR="003C0CC2" w:rsidRPr="007A09CF" w:rsidRDefault="003C0CC2" w:rsidP="00442171">
            <w:pPr>
              <w:jc w:val="center"/>
              <w:rPr>
                <w:sz w:val="28"/>
                <w:szCs w:val="28"/>
              </w:rPr>
            </w:pPr>
            <w:r w:rsidRPr="007A09CF">
              <w:rPr>
                <w:sz w:val="28"/>
                <w:szCs w:val="28"/>
              </w:rPr>
              <w:t>Надбавка за высокие показатели и качество работы</w:t>
            </w:r>
          </w:p>
        </w:tc>
        <w:tc>
          <w:tcPr>
            <w:tcW w:w="5670" w:type="dxa"/>
          </w:tcPr>
          <w:p w:rsidR="003C0CC2" w:rsidRPr="007A09CF" w:rsidRDefault="003C0CC2" w:rsidP="00442171">
            <w:pPr>
              <w:jc w:val="center"/>
              <w:rPr>
                <w:sz w:val="28"/>
                <w:szCs w:val="28"/>
              </w:rPr>
            </w:pPr>
            <w:r w:rsidRPr="007A09CF">
              <w:rPr>
                <w:sz w:val="28"/>
                <w:szCs w:val="28"/>
              </w:rPr>
              <w:t>Доля выпускников, сдавших ЕГЭ (100%)</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Доля обучающихся, успевающих на «4» и «5» (по результатам последней аттестации) 50%-100%</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школы в конкурсах муниципального уровня</w:t>
            </w:r>
          </w:p>
        </w:tc>
        <w:tc>
          <w:tcPr>
            <w:tcW w:w="2126" w:type="dxa"/>
          </w:tcPr>
          <w:p w:rsidR="003C0CC2" w:rsidRPr="007A09CF" w:rsidRDefault="003C0CC2" w:rsidP="00442171">
            <w:pPr>
              <w:jc w:val="center"/>
              <w:rPr>
                <w:sz w:val="28"/>
                <w:szCs w:val="28"/>
              </w:rPr>
            </w:pPr>
            <w:r w:rsidRPr="007A09CF">
              <w:rPr>
                <w:sz w:val="28"/>
                <w:szCs w:val="28"/>
              </w:rPr>
              <w:t>2%</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школы в конкурсах регионального уровня</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школы в конкурсах общероссийского и международного уровня</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 xml:space="preserve">Доля победителей и призеров олимпиад муниципального уровня среди обучающихся 8-11 </w:t>
            </w:r>
            <w:proofErr w:type="spellStart"/>
            <w:r w:rsidRPr="007A09CF">
              <w:rPr>
                <w:sz w:val="28"/>
                <w:szCs w:val="28"/>
              </w:rPr>
              <w:t>кл</w:t>
            </w:r>
            <w:proofErr w:type="spellEnd"/>
            <w:r w:rsidRPr="007A09CF">
              <w:rPr>
                <w:sz w:val="28"/>
                <w:szCs w:val="28"/>
              </w:rPr>
              <w:t>. (5%-100%)</w:t>
            </w:r>
          </w:p>
        </w:tc>
        <w:tc>
          <w:tcPr>
            <w:tcW w:w="2126" w:type="dxa"/>
          </w:tcPr>
          <w:p w:rsidR="003C0CC2" w:rsidRPr="007A09CF" w:rsidRDefault="003C0CC2" w:rsidP="00442171">
            <w:pPr>
              <w:jc w:val="center"/>
              <w:rPr>
                <w:sz w:val="28"/>
                <w:szCs w:val="28"/>
              </w:rPr>
            </w:pPr>
            <w:r w:rsidRPr="007A09CF">
              <w:rPr>
                <w:sz w:val="28"/>
                <w:szCs w:val="28"/>
              </w:rPr>
              <w:t>2%</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 xml:space="preserve">Доля победителей и призеров олимпиад регионального уровня среди обучающихся 8-11 </w:t>
            </w:r>
            <w:proofErr w:type="spellStart"/>
            <w:r w:rsidRPr="007A09CF">
              <w:rPr>
                <w:sz w:val="28"/>
                <w:szCs w:val="28"/>
              </w:rPr>
              <w:t>кл</w:t>
            </w:r>
            <w:proofErr w:type="spellEnd"/>
            <w:r w:rsidRPr="007A09CF">
              <w:rPr>
                <w:sz w:val="28"/>
                <w:szCs w:val="28"/>
              </w:rPr>
              <w:t>. (5%-100%)</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Отсутствие правонарушений, совершенных обучающимися</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Обеспечение доступа к электронным образовательным ресурсам путем использования единой сети в школе</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 xml:space="preserve">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Смоленской области </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Увеличение количества учителей до 30 лет по сравнению с предыдущим годом</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Доля педагогов, имеющих первую и высшую категории (90%-100%)</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педагогов в конкурсах профессионального мастерства («Учитель года» и т.п.) муниципального уровня</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Победа педагогов в конкурсах профессионального мастерства («Учитель года» и т.п.) муниципального уровня</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педагогов в конкурсах профессионального мастерства («Учитель года» и т.п.) регионального уровня</w:t>
            </w:r>
          </w:p>
        </w:tc>
        <w:tc>
          <w:tcPr>
            <w:tcW w:w="2126" w:type="dxa"/>
          </w:tcPr>
          <w:p w:rsidR="003C0CC2" w:rsidRPr="007A09CF" w:rsidRDefault="003C0CC2" w:rsidP="00442171">
            <w:pPr>
              <w:jc w:val="center"/>
              <w:rPr>
                <w:sz w:val="28"/>
                <w:szCs w:val="28"/>
              </w:rPr>
            </w:pPr>
            <w:r w:rsidRPr="007A09CF">
              <w:rPr>
                <w:sz w:val="28"/>
                <w:szCs w:val="28"/>
              </w:rPr>
              <w:t>5%</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Победа педагогов в конкурсах профессионального мастерства («Учитель года» и т.п.) регионального уровня</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Участие педагогов в конкурсах профессионального мастерства федерального уровня (ПНП «Образование»)</w:t>
            </w:r>
          </w:p>
        </w:tc>
        <w:tc>
          <w:tcPr>
            <w:tcW w:w="2126" w:type="dxa"/>
          </w:tcPr>
          <w:p w:rsidR="003C0CC2" w:rsidRPr="007A09CF" w:rsidRDefault="003C0CC2" w:rsidP="00442171">
            <w:pPr>
              <w:jc w:val="center"/>
              <w:rPr>
                <w:sz w:val="28"/>
                <w:szCs w:val="28"/>
              </w:rPr>
            </w:pPr>
            <w:r w:rsidRPr="007A09CF">
              <w:rPr>
                <w:sz w:val="28"/>
                <w:szCs w:val="28"/>
              </w:rPr>
              <w:t>10%</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Победа педагогов в конкурсах профессионального мастерства федерального уровня (ПНП «Образование»)</w:t>
            </w:r>
          </w:p>
        </w:tc>
        <w:tc>
          <w:tcPr>
            <w:tcW w:w="2126" w:type="dxa"/>
          </w:tcPr>
          <w:p w:rsidR="003C0CC2" w:rsidRPr="007A09CF" w:rsidRDefault="003C0CC2" w:rsidP="00442171">
            <w:pPr>
              <w:jc w:val="center"/>
              <w:rPr>
                <w:sz w:val="28"/>
                <w:szCs w:val="28"/>
              </w:rPr>
            </w:pPr>
            <w:r w:rsidRPr="007A09CF">
              <w:rPr>
                <w:sz w:val="28"/>
                <w:szCs w:val="28"/>
              </w:rPr>
              <w:t>12%</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Отсутствие обоснованных жалоб родителей (законных представителей)</w:t>
            </w:r>
          </w:p>
        </w:tc>
        <w:tc>
          <w:tcPr>
            <w:tcW w:w="2126" w:type="dxa"/>
          </w:tcPr>
          <w:p w:rsidR="003C0CC2" w:rsidRPr="007A09CF" w:rsidRDefault="003C0CC2" w:rsidP="00442171">
            <w:pPr>
              <w:jc w:val="center"/>
              <w:rPr>
                <w:sz w:val="28"/>
                <w:szCs w:val="28"/>
              </w:rPr>
            </w:pPr>
            <w:r w:rsidRPr="007A09CF">
              <w:rPr>
                <w:sz w:val="28"/>
                <w:szCs w:val="28"/>
              </w:rPr>
              <w:t>3%</w:t>
            </w:r>
          </w:p>
        </w:tc>
      </w:tr>
      <w:tr w:rsidR="003C0CC2" w:rsidRPr="007A09CF" w:rsidTr="00442171">
        <w:tc>
          <w:tcPr>
            <w:tcW w:w="2122" w:type="dxa"/>
            <w:vMerge/>
          </w:tcPr>
          <w:p w:rsidR="003C0CC2" w:rsidRPr="007A09CF" w:rsidRDefault="003C0CC2" w:rsidP="00442171">
            <w:pPr>
              <w:jc w:val="center"/>
              <w:rPr>
                <w:sz w:val="28"/>
                <w:szCs w:val="28"/>
              </w:rPr>
            </w:pPr>
          </w:p>
        </w:tc>
        <w:tc>
          <w:tcPr>
            <w:tcW w:w="5670" w:type="dxa"/>
          </w:tcPr>
          <w:p w:rsidR="003C0CC2" w:rsidRPr="007A09CF" w:rsidRDefault="003C0CC2" w:rsidP="00442171">
            <w:pPr>
              <w:jc w:val="center"/>
              <w:rPr>
                <w:sz w:val="28"/>
                <w:szCs w:val="28"/>
              </w:rPr>
            </w:pPr>
            <w:r w:rsidRPr="007A09CF">
              <w:rPr>
                <w:sz w:val="28"/>
                <w:szCs w:val="28"/>
              </w:rPr>
              <w:t>Высокая исполнительская дисциплина (своевременная сдача отчетов в комитет по образованию)</w:t>
            </w:r>
          </w:p>
        </w:tc>
        <w:tc>
          <w:tcPr>
            <w:tcW w:w="2126" w:type="dxa"/>
          </w:tcPr>
          <w:p w:rsidR="003C0CC2" w:rsidRPr="007A09CF" w:rsidRDefault="003C0CC2" w:rsidP="00442171">
            <w:pPr>
              <w:jc w:val="center"/>
              <w:rPr>
                <w:sz w:val="28"/>
                <w:szCs w:val="28"/>
              </w:rPr>
            </w:pPr>
            <w:r w:rsidRPr="007A09CF">
              <w:rPr>
                <w:sz w:val="28"/>
                <w:szCs w:val="28"/>
              </w:rPr>
              <w:t>3%</w:t>
            </w:r>
          </w:p>
        </w:tc>
      </w:tr>
    </w:tbl>
    <w:p w:rsidR="003C0CC2" w:rsidRDefault="003C0CC2" w:rsidP="003C0CC2">
      <w:pPr>
        <w:ind w:firstLine="708"/>
        <w:jc w:val="both"/>
      </w:pPr>
    </w:p>
    <w:p w:rsidR="007A09CF" w:rsidRPr="00BD1C0D" w:rsidRDefault="007A09CF"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В соответствии со статьей 72 Трудового кодекса Российской </w:t>
      </w:r>
      <w:r w:rsidR="00BD1C0D" w:rsidRPr="00BD1C0D">
        <w:rPr>
          <w:rFonts w:ascii="Times New Roman" w:hAnsi="Times New Roman" w:cs="Times New Roman"/>
          <w:sz w:val="28"/>
          <w:szCs w:val="28"/>
        </w:rPr>
        <w:t>Федерации трудовой</w:t>
      </w:r>
      <w:r w:rsidRPr="00BD1C0D">
        <w:rPr>
          <w:rFonts w:ascii="Times New Roman" w:hAnsi="Times New Roman" w:cs="Times New Roman"/>
          <w:sz w:val="28"/>
          <w:szCs w:val="28"/>
        </w:rPr>
        <w:t xml:space="preserve"> договор, соглашение об изменении определенных сторонами условий трудового договора заключаются в письменной форме в двух экземплярах, один из которых вручается работнику под роспись на экземпляре, хранящемся у работодателя.</w:t>
      </w:r>
    </w:p>
    <w:p w:rsidR="007A09CF" w:rsidRPr="00BD1C0D" w:rsidRDefault="007A09CF" w:rsidP="00BD1C0D">
      <w:pPr>
        <w:jc w:val="both"/>
        <w:rPr>
          <w:rFonts w:ascii="Times New Roman" w:hAnsi="Times New Roman" w:cs="Times New Roman"/>
          <w:sz w:val="28"/>
          <w:szCs w:val="28"/>
        </w:rPr>
      </w:pPr>
      <w:r w:rsidRPr="00BD1C0D">
        <w:rPr>
          <w:rFonts w:ascii="Times New Roman" w:hAnsi="Times New Roman" w:cs="Times New Roman"/>
          <w:sz w:val="28"/>
          <w:szCs w:val="28"/>
        </w:rPr>
        <w:t xml:space="preserve">Дополнительное соглашение к трудовому </w:t>
      </w:r>
      <w:r w:rsidR="00BD1C0D" w:rsidRPr="00BD1C0D">
        <w:rPr>
          <w:rFonts w:ascii="Times New Roman" w:hAnsi="Times New Roman" w:cs="Times New Roman"/>
          <w:sz w:val="28"/>
          <w:szCs w:val="28"/>
        </w:rPr>
        <w:t>договору рекомендуется</w:t>
      </w:r>
      <w:r w:rsidRPr="00BD1C0D">
        <w:rPr>
          <w:rFonts w:ascii="Times New Roman" w:hAnsi="Times New Roman" w:cs="Times New Roman"/>
          <w:sz w:val="28"/>
          <w:szCs w:val="28"/>
        </w:rPr>
        <w:t xml:space="preserve"> заключать по мере разработки показателей и критериев оценки эффективности труда работников </w:t>
      </w:r>
      <w:r w:rsidR="00BD1C0D" w:rsidRPr="00BD1C0D">
        <w:rPr>
          <w:rFonts w:ascii="Times New Roman" w:hAnsi="Times New Roman" w:cs="Times New Roman"/>
          <w:sz w:val="28"/>
          <w:szCs w:val="28"/>
        </w:rPr>
        <w:lastRenderedPageBreak/>
        <w:t>учреждения для</w:t>
      </w:r>
      <w:r w:rsidRPr="00BD1C0D">
        <w:rPr>
          <w:rFonts w:ascii="Times New Roman" w:hAnsi="Times New Roman" w:cs="Times New Roman"/>
          <w:sz w:val="28"/>
          <w:szCs w:val="28"/>
        </w:rPr>
        <w:t xml:space="preserve"> определения размеров и условий осуществления стимулирующих выплат.</w:t>
      </w:r>
    </w:p>
    <w:p w:rsidR="003C0CC2" w:rsidRPr="007A09CF" w:rsidRDefault="003C0CC2">
      <w:pPr>
        <w:rPr>
          <w:rFonts w:ascii="Times New Roman" w:hAnsi="Times New Roman" w:cs="Times New Roman"/>
          <w:sz w:val="28"/>
          <w:szCs w:val="28"/>
        </w:rPr>
      </w:pPr>
    </w:p>
    <w:sectPr w:rsidR="003C0CC2" w:rsidRPr="007A09CF" w:rsidSect="00433FF6">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B1" w:rsidRDefault="001E53B1" w:rsidP="00D01421">
      <w:pPr>
        <w:spacing w:after="0" w:line="240" w:lineRule="auto"/>
      </w:pPr>
      <w:r>
        <w:separator/>
      </w:r>
    </w:p>
  </w:endnote>
  <w:endnote w:type="continuationSeparator" w:id="0">
    <w:p w:rsidR="001E53B1" w:rsidRDefault="001E53B1" w:rsidP="00D0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B1" w:rsidRDefault="001E53B1" w:rsidP="00D01421">
      <w:pPr>
        <w:spacing w:after="0" w:line="240" w:lineRule="auto"/>
      </w:pPr>
      <w:r>
        <w:separator/>
      </w:r>
    </w:p>
  </w:footnote>
  <w:footnote w:type="continuationSeparator" w:id="0">
    <w:p w:rsidR="001E53B1" w:rsidRDefault="001E53B1" w:rsidP="00D01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B77D2"/>
    <w:multiLevelType w:val="multilevel"/>
    <w:tmpl w:val="046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904C2"/>
    <w:multiLevelType w:val="multilevel"/>
    <w:tmpl w:val="63BA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55897"/>
    <w:multiLevelType w:val="multilevel"/>
    <w:tmpl w:val="E44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52DEF"/>
    <w:multiLevelType w:val="multilevel"/>
    <w:tmpl w:val="B10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D490C"/>
    <w:multiLevelType w:val="multilevel"/>
    <w:tmpl w:val="5000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D5C61"/>
    <w:multiLevelType w:val="multilevel"/>
    <w:tmpl w:val="5F4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16491"/>
    <w:multiLevelType w:val="multilevel"/>
    <w:tmpl w:val="A498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9F"/>
    <w:rsid w:val="001220A2"/>
    <w:rsid w:val="001E53B1"/>
    <w:rsid w:val="001F7951"/>
    <w:rsid w:val="002F5E9F"/>
    <w:rsid w:val="003C0CC2"/>
    <w:rsid w:val="00433FF6"/>
    <w:rsid w:val="00463C1A"/>
    <w:rsid w:val="00493F58"/>
    <w:rsid w:val="004C0320"/>
    <w:rsid w:val="005A6B6F"/>
    <w:rsid w:val="007A09CF"/>
    <w:rsid w:val="008446B4"/>
    <w:rsid w:val="00BB1710"/>
    <w:rsid w:val="00BD1C0D"/>
    <w:rsid w:val="00D01421"/>
    <w:rsid w:val="00D019E9"/>
    <w:rsid w:val="00D84A1F"/>
    <w:rsid w:val="00DD6EC3"/>
    <w:rsid w:val="00E14DEB"/>
    <w:rsid w:val="00FC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2632D-2EA7-4F2F-BF81-1B6F176D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E9F"/>
    <w:rPr>
      <w:rFonts w:ascii="Tahoma" w:hAnsi="Tahoma" w:cs="Tahoma"/>
      <w:sz w:val="16"/>
      <w:szCs w:val="16"/>
    </w:rPr>
  </w:style>
  <w:style w:type="paragraph" w:styleId="a5">
    <w:name w:val="Normal (Web)"/>
    <w:basedOn w:val="a"/>
    <w:uiPriority w:val="99"/>
    <w:unhideWhenUsed/>
    <w:rsid w:val="00BB1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1710"/>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rsid w:val="003C0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014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1421"/>
  </w:style>
  <w:style w:type="paragraph" w:styleId="aa">
    <w:name w:val="footer"/>
    <w:basedOn w:val="a"/>
    <w:link w:val="ab"/>
    <w:uiPriority w:val="99"/>
    <w:unhideWhenUsed/>
    <w:rsid w:val="00D014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562328">
      <w:bodyDiv w:val="1"/>
      <w:marLeft w:val="0"/>
      <w:marRight w:val="0"/>
      <w:marTop w:val="0"/>
      <w:marBottom w:val="0"/>
      <w:divBdr>
        <w:top w:val="none" w:sz="0" w:space="0" w:color="auto"/>
        <w:left w:val="none" w:sz="0" w:space="0" w:color="auto"/>
        <w:bottom w:val="none" w:sz="0" w:space="0" w:color="auto"/>
        <w:right w:val="none" w:sz="0" w:space="0" w:color="auto"/>
      </w:divBdr>
      <w:divsChild>
        <w:div w:id="1981224129">
          <w:marLeft w:val="0"/>
          <w:marRight w:val="0"/>
          <w:marTop w:val="0"/>
          <w:marBottom w:val="0"/>
          <w:divBdr>
            <w:top w:val="none" w:sz="0" w:space="0" w:color="auto"/>
            <w:left w:val="none" w:sz="0" w:space="0" w:color="auto"/>
            <w:bottom w:val="none" w:sz="0" w:space="0" w:color="auto"/>
            <w:right w:val="none" w:sz="0" w:space="0" w:color="auto"/>
          </w:divBdr>
        </w:div>
        <w:div w:id="1839467088">
          <w:marLeft w:val="0"/>
          <w:marRight w:val="0"/>
          <w:marTop w:val="0"/>
          <w:marBottom w:val="150"/>
          <w:divBdr>
            <w:top w:val="none" w:sz="0" w:space="0" w:color="auto"/>
            <w:left w:val="none" w:sz="0" w:space="0" w:color="auto"/>
            <w:bottom w:val="none" w:sz="0" w:space="0" w:color="auto"/>
            <w:right w:val="none" w:sz="0" w:space="0" w:color="auto"/>
          </w:divBdr>
          <w:divsChild>
            <w:div w:id="915288259">
              <w:marLeft w:val="0"/>
              <w:marRight w:val="0"/>
              <w:marTop w:val="0"/>
              <w:marBottom w:val="0"/>
              <w:divBdr>
                <w:top w:val="none" w:sz="0" w:space="0" w:color="auto"/>
                <w:left w:val="none" w:sz="0" w:space="0" w:color="auto"/>
                <w:bottom w:val="none" w:sz="0" w:space="0" w:color="auto"/>
                <w:right w:val="none" w:sz="0" w:space="0" w:color="auto"/>
              </w:divBdr>
            </w:div>
            <w:div w:id="1331369453">
              <w:marLeft w:val="0"/>
              <w:marRight w:val="0"/>
              <w:marTop w:val="0"/>
              <w:marBottom w:val="0"/>
              <w:divBdr>
                <w:top w:val="none" w:sz="0" w:space="0" w:color="auto"/>
                <w:left w:val="none" w:sz="0" w:space="0" w:color="auto"/>
                <w:bottom w:val="none" w:sz="0" w:space="0" w:color="auto"/>
                <w:right w:val="none" w:sz="0" w:space="0" w:color="auto"/>
              </w:divBdr>
            </w:div>
            <w:div w:id="696662806">
              <w:marLeft w:val="0"/>
              <w:marRight w:val="0"/>
              <w:marTop w:val="0"/>
              <w:marBottom w:val="0"/>
              <w:divBdr>
                <w:top w:val="none" w:sz="0" w:space="0" w:color="auto"/>
                <w:left w:val="none" w:sz="0" w:space="0" w:color="auto"/>
                <w:bottom w:val="none" w:sz="0" w:space="0" w:color="auto"/>
                <w:right w:val="none" w:sz="0" w:space="0" w:color="auto"/>
              </w:divBdr>
            </w:div>
            <w:div w:id="1348363636">
              <w:marLeft w:val="0"/>
              <w:marRight w:val="0"/>
              <w:marTop w:val="0"/>
              <w:marBottom w:val="0"/>
              <w:divBdr>
                <w:top w:val="none" w:sz="0" w:space="0" w:color="auto"/>
                <w:left w:val="none" w:sz="0" w:space="0" w:color="auto"/>
                <w:bottom w:val="none" w:sz="0" w:space="0" w:color="auto"/>
                <w:right w:val="none" w:sz="0" w:space="0" w:color="auto"/>
              </w:divBdr>
            </w:div>
            <w:div w:id="1162966337">
              <w:marLeft w:val="0"/>
              <w:marRight w:val="0"/>
              <w:marTop w:val="0"/>
              <w:marBottom w:val="0"/>
              <w:divBdr>
                <w:top w:val="none" w:sz="0" w:space="0" w:color="auto"/>
                <w:left w:val="none" w:sz="0" w:space="0" w:color="auto"/>
                <w:bottom w:val="none" w:sz="0" w:space="0" w:color="auto"/>
                <w:right w:val="none" w:sz="0" w:space="0" w:color="auto"/>
              </w:divBdr>
            </w:div>
          </w:divsChild>
        </w:div>
        <w:div w:id="21391799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Курганов</cp:lastModifiedBy>
  <cp:revision>7</cp:revision>
  <cp:lastPrinted>2015-08-12T10:02:00Z</cp:lastPrinted>
  <dcterms:created xsi:type="dcterms:W3CDTF">2015-08-11T12:50:00Z</dcterms:created>
  <dcterms:modified xsi:type="dcterms:W3CDTF">2015-08-12T12:40:00Z</dcterms:modified>
</cp:coreProperties>
</file>