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5" w:rsidRDefault="00042BBF" w:rsidP="00043992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E16A5" w:rsidRPr="00EA2105" w:rsidRDefault="00B32D57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3035300</wp:posOffset>
            </wp:positionH>
            <wp:positionV relativeFrom="paragraph">
              <wp:posOffset>13970</wp:posOffset>
            </wp:positionV>
            <wp:extent cx="525780" cy="866775"/>
            <wp:effectExtent l="0" t="0" r="762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A5"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E16A5" w:rsidRDefault="007E16A5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</w:t>
      </w:r>
      <w:r w:rsidR="00B77A4B">
        <w:rPr>
          <w:rFonts w:ascii="Times New Roman" w:hAnsi="Times New Roman" w:cs="Times New Roman"/>
          <w:b/>
          <w:sz w:val="28"/>
          <w:szCs w:val="28"/>
        </w:rPr>
        <w:t>ЕНСКИЙ РАЙОН» СМОЛЕНСКОЙ ОБЛАСТИ</w:t>
      </w:r>
    </w:p>
    <w:p w:rsidR="00B77A4B" w:rsidRPr="00B77A4B" w:rsidRDefault="00B77A4B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E16A5" w:rsidRPr="00EA2105" w:rsidRDefault="007E16A5" w:rsidP="00EA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210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AB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2105">
        <w:rPr>
          <w:rFonts w:ascii="Times New Roman" w:hAnsi="Times New Roman" w:cs="Times New Roman"/>
          <w:sz w:val="28"/>
          <w:szCs w:val="28"/>
        </w:rPr>
        <w:t xml:space="preserve">№ </w:t>
      </w:r>
      <w:r w:rsidR="009C1AB0">
        <w:rPr>
          <w:rFonts w:ascii="Times New Roman" w:hAnsi="Times New Roman" w:cs="Times New Roman"/>
          <w:sz w:val="28"/>
          <w:szCs w:val="28"/>
        </w:rPr>
        <w:t>_______</w:t>
      </w:r>
    </w:p>
    <w:p w:rsidR="007E16A5" w:rsidRDefault="007E16A5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Pr="00EA2105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827F0E" w:rsidRDefault="007E16A5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C3270">
        <w:rPr>
          <w:rFonts w:ascii="Times New Roman" w:hAnsi="Times New Roman" w:cs="Times New Roman"/>
          <w:sz w:val="28"/>
          <w:szCs w:val="28"/>
        </w:rPr>
        <w:t>в</w:t>
      </w:r>
      <w:r w:rsidR="00827F0E">
        <w:rPr>
          <w:rFonts w:ascii="Times New Roman" w:hAnsi="Times New Roman" w:cs="Times New Roman"/>
          <w:sz w:val="28"/>
          <w:szCs w:val="28"/>
        </w:rPr>
        <w:t xml:space="preserve"> подпрограмму</w:t>
      </w:r>
    </w:p>
    <w:p w:rsidR="00827F0E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 долгом </w:t>
      </w:r>
    </w:p>
    <w:p w:rsidR="008C3270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района»</w:t>
      </w:r>
      <w:r w:rsidR="008D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C3270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</w:t>
      </w:r>
      <w:proofErr w:type="gramStart"/>
      <w:r w:rsidR="008C3270" w:rsidRPr="008C32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C3270" w:rsidRPr="008C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C3270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70">
        <w:rPr>
          <w:rFonts w:ascii="Times New Roman" w:hAnsi="Times New Roman" w:cs="Times New Roman"/>
          <w:sz w:val="28"/>
          <w:szCs w:val="28"/>
        </w:rPr>
        <w:t>управления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C3270">
        <w:rPr>
          <w:rFonts w:ascii="Times New Roman" w:hAnsi="Times New Roman" w:cs="Times New Roman"/>
          <w:sz w:val="28"/>
          <w:szCs w:val="28"/>
        </w:rPr>
        <w:t xml:space="preserve">финансами» </w:t>
      </w:r>
    </w:p>
    <w:p w:rsidR="0059495C" w:rsidRDefault="009D4FDA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2017 - 2019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B5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D1B5E">
        <w:rPr>
          <w:rFonts w:ascii="Times New Roman" w:hAnsi="Times New Roman" w:cs="Times New Roman"/>
          <w:sz w:val="28"/>
          <w:szCs w:val="28"/>
        </w:rPr>
        <w:t xml:space="preserve"> </w:t>
      </w:r>
      <w:r w:rsidR="00042BBF">
        <w:rPr>
          <w:rFonts w:ascii="Times New Roman" w:hAnsi="Times New Roman" w:cs="Times New Roman"/>
          <w:sz w:val="28"/>
          <w:szCs w:val="28"/>
        </w:rPr>
        <w:t xml:space="preserve"> </w:t>
      </w:r>
      <w:r w:rsidR="0059495C">
        <w:rPr>
          <w:rFonts w:ascii="Times New Roman" w:hAnsi="Times New Roman" w:cs="Times New Roman"/>
          <w:sz w:val="28"/>
          <w:szCs w:val="28"/>
        </w:rPr>
        <w:t xml:space="preserve">утвержденную </w:t>
      </w:r>
    </w:p>
    <w:p w:rsidR="0059495C" w:rsidRDefault="00D17377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495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363C14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E339C3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04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D53">
        <w:rPr>
          <w:rFonts w:ascii="Times New Roman" w:hAnsi="Times New Roman" w:cs="Times New Roman"/>
          <w:sz w:val="28"/>
          <w:szCs w:val="28"/>
        </w:rPr>
        <w:t>24</w:t>
      </w:r>
      <w:r w:rsidR="00042BBF">
        <w:rPr>
          <w:rFonts w:ascii="Times New Roman" w:hAnsi="Times New Roman" w:cs="Times New Roman"/>
          <w:sz w:val="28"/>
          <w:szCs w:val="28"/>
        </w:rPr>
        <w:t>.</w:t>
      </w:r>
      <w:r w:rsidR="00EE0D53">
        <w:rPr>
          <w:rFonts w:ascii="Times New Roman" w:hAnsi="Times New Roman" w:cs="Times New Roman"/>
          <w:sz w:val="28"/>
          <w:szCs w:val="28"/>
        </w:rPr>
        <w:t xml:space="preserve"> 11.2016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0D53">
        <w:rPr>
          <w:rFonts w:ascii="Times New Roman" w:hAnsi="Times New Roman" w:cs="Times New Roman"/>
          <w:sz w:val="28"/>
          <w:szCs w:val="28"/>
        </w:rPr>
        <w:t>1</w:t>
      </w:r>
      <w:r w:rsidR="00827F0E">
        <w:rPr>
          <w:rFonts w:ascii="Times New Roman" w:hAnsi="Times New Roman" w:cs="Times New Roman"/>
          <w:sz w:val="28"/>
          <w:szCs w:val="28"/>
        </w:rPr>
        <w:t>3</w:t>
      </w:r>
      <w:r w:rsidR="00EE0D53">
        <w:rPr>
          <w:rFonts w:ascii="Times New Roman" w:hAnsi="Times New Roman" w:cs="Times New Roman"/>
          <w:sz w:val="28"/>
          <w:szCs w:val="28"/>
        </w:rPr>
        <w:t>16</w:t>
      </w:r>
    </w:p>
    <w:p w:rsidR="0059495C" w:rsidRDefault="0059495C" w:rsidP="00363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70" w:rsidRPr="008C3270" w:rsidRDefault="008C3270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A57E0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7E16A5" w:rsidP="00D4534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075EE6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075EE6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59495C" w:rsidP="00496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Внести в</w:t>
      </w:r>
      <w:r w:rsidR="00827F0E" w:rsidRP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 xml:space="preserve"> подпрограмму «Управление муниципальным долгом</w:t>
      </w:r>
      <w:r w:rsidR="004A6BE8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>Смоленского района»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 w:rsidR="008C3270">
        <w:rPr>
          <w:rFonts w:ascii="Times New Roman" w:hAnsi="Times New Roman" w:cs="Times New Roman"/>
          <w:sz w:val="28"/>
          <w:szCs w:val="28"/>
        </w:rPr>
        <w:t>э</w:t>
      </w:r>
      <w:r w:rsidR="008C3270" w:rsidRPr="008C3270">
        <w:rPr>
          <w:rFonts w:ascii="Times New Roman" w:hAnsi="Times New Roman" w:cs="Times New Roman"/>
          <w:sz w:val="28"/>
          <w:szCs w:val="28"/>
        </w:rPr>
        <w:t>ффективного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C327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E0D53">
        <w:rPr>
          <w:rFonts w:ascii="Times New Roman" w:hAnsi="Times New Roman" w:cs="Times New Roman"/>
          <w:sz w:val="28"/>
          <w:szCs w:val="28"/>
        </w:rPr>
        <w:t>финансами» на 2017 - 2019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остановлением Администрации муниципального образования «Смоленс</w:t>
      </w:r>
      <w:r w:rsidR="00496C1B">
        <w:rPr>
          <w:rFonts w:ascii="Times New Roman" w:hAnsi="Times New Roman" w:cs="Times New Roman"/>
          <w:spacing w:val="-1"/>
          <w:sz w:val="28"/>
          <w:szCs w:val="28"/>
        </w:rPr>
        <w:t xml:space="preserve">кий район» Смоленской области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96C1B">
        <w:rPr>
          <w:rFonts w:ascii="Times New Roman" w:hAnsi="Times New Roman" w:cs="Times New Roman"/>
          <w:sz w:val="28"/>
          <w:szCs w:val="28"/>
        </w:rPr>
        <w:t xml:space="preserve">от  24. 11.2016 № 1316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103310" w:rsidRDefault="007E16A5" w:rsidP="004A6BE8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1.1. В паспорте </w:t>
      </w:r>
      <w:r w:rsidR="004A6BE8">
        <w:rPr>
          <w:rFonts w:ascii="Times New Roman" w:hAnsi="Times New Roman" w:cs="Times New Roman"/>
          <w:spacing w:val="-1"/>
          <w:sz w:val="28"/>
          <w:szCs w:val="28"/>
        </w:rPr>
        <w:t>под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 xml:space="preserve">Объемы бюджетных ассигнований и источники финансирования </w:t>
      </w:r>
      <w:r w:rsidR="006D4384">
        <w:rPr>
          <w:rFonts w:ascii="Times New Roman" w:hAnsi="Times New Roman" w:cs="Times New Roman"/>
          <w:spacing w:val="-5"/>
          <w:sz w:val="28"/>
          <w:szCs w:val="28"/>
        </w:rPr>
        <w:t>под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новой редакции:</w:t>
      </w:r>
    </w:p>
    <w:p w:rsidR="00B77A4B" w:rsidRDefault="00B77A4B" w:rsidP="004A6BE8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77A4B" w:rsidRDefault="00B77A4B" w:rsidP="004A6BE8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A6BE8" w:rsidRDefault="004A6BE8" w:rsidP="004A6BE8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906"/>
      </w:tblGrid>
      <w:tr w:rsidR="007D50EA" w:rsidRPr="007D50EA" w:rsidTr="007D50EA">
        <w:tc>
          <w:tcPr>
            <w:tcW w:w="2427" w:type="dxa"/>
            <w:shd w:val="clear" w:color="auto" w:fill="auto"/>
          </w:tcPr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Объемы</w:t>
            </w:r>
          </w:p>
          <w:p w:rsidR="004A6BE8" w:rsidRPr="007D50EA" w:rsidRDefault="009D256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б</w:t>
            </w:r>
            <w:r w:rsidR="004A6BE8" w:rsidRPr="007D50EA">
              <w:rPr>
                <w:rFonts w:ascii="Times New Roman" w:hAnsi="Times New Roman"/>
                <w:spacing w:val="-5"/>
                <w:sz w:val="28"/>
                <w:szCs w:val="28"/>
              </w:rPr>
              <w:t>юджетных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ассигнований и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источники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финансирования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Подпрограммы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906" w:type="dxa"/>
            <w:shd w:val="clear" w:color="auto" w:fill="auto"/>
          </w:tcPr>
          <w:p w:rsidR="004A6BE8" w:rsidRPr="007D50EA" w:rsidRDefault="004A6BE8" w:rsidP="007D50EA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386B10">
              <w:rPr>
                <w:rFonts w:ascii="Times New Roman" w:hAnsi="Times New Roman"/>
                <w:sz w:val="28"/>
                <w:szCs w:val="28"/>
              </w:rPr>
              <w:t>11 400,0</w:t>
            </w:r>
            <w:r w:rsidR="005B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тыс. руб. за счет бюджета муниципального образования «Смоленский район» Смоленской области, в том числе по годам:</w:t>
            </w:r>
          </w:p>
          <w:p w:rsidR="004A6BE8" w:rsidRPr="007D50EA" w:rsidRDefault="004A6BE8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A6BE8" w:rsidRPr="007D50EA" w:rsidRDefault="00BE5DBD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 xml:space="preserve"> год - 3</w:t>
            </w:r>
            <w:r>
              <w:rPr>
                <w:rFonts w:ascii="Times New Roman" w:hAnsi="Times New Roman"/>
                <w:sz w:val="28"/>
                <w:szCs w:val="28"/>
              </w:rPr>
              <w:t> 800,0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A6BE8" w:rsidRPr="007D50EA" w:rsidRDefault="004A6BE8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A6BE8" w:rsidRPr="007D50EA" w:rsidRDefault="00BE5DBD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- 3 8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00,0 тыс. руб.</w:t>
            </w:r>
          </w:p>
          <w:p w:rsidR="004A6BE8" w:rsidRPr="007D50EA" w:rsidRDefault="004A6BE8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A6BE8" w:rsidRPr="007D50EA" w:rsidRDefault="00BE5DBD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- 3 8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00,0 тыс. руб.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4A6BE8" w:rsidRDefault="004A6BE8" w:rsidP="004A6BE8">
      <w:pPr>
        <w:shd w:val="clear" w:color="auto" w:fill="FFFFFF"/>
        <w:ind w:right="56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9495C" w:rsidRDefault="005646DB" w:rsidP="006308D5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1.2.</w:t>
      </w:r>
      <w:r w:rsidR="009D2568">
        <w:rPr>
          <w:rFonts w:ascii="Times New Roman" w:hAnsi="Times New Roman" w:cs="Times New Roman"/>
          <w:spacing w:val="-1"/>
          <w:sz w:val="28"/>
          <w:szCs w:val="28"/>
        </w:rPr>
        <w:t xml:space="preserve">Абзацы 2 и 3 </w:t>
      </w:r>
      <w:r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 w:rsidR="009D2568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proofErr w:type="gramEnd"/>
      <w:r w:rsidR="00143C09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143C09" w:rsidRPr="005646DB">
        <w:rPr>
          <w:rFonts w:ascii="Times New Roman" w:hAnsi="Times New Roman" w:cs="Times New Roman"/>
          <w:b/>
          <w:spacing w:val="-1"/>
          <w:sz w:val="28"/>
          <w:szCs w:val="28"/>
        </w:rPr>
        <w:t>Общая характеристика сферы</w:t>
      </w:r>
      <w:r w:rsidRPr="005646D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реализации Подпрограммы</w:t>
      </w:r>
      <w:r w:rsidR="009D2568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изложить в новой редакции</w:t>
      </w:r>
      <w:r w:rsidR="009D256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966F5" w:rsidRPr="00C966F5" w:rsidRDefault="009D2568" w:rsidP="00C966F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66F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E5DBD">
        <w:rPr>
          <w:rFonts w:ascii="Times New Roman" w:hAnsi="Times New Roman" w:cs="Times New Roman"/>
          <w:sz w:val="28"/>
          <w:szCs w:val="28"/>
        </w:rPr>
        <w:t>2017</w:t>
      </w:r>
      <w:r w:rsidR="00C966F5" w:rsidRPr="00C966F5">
        <w:rPr>
          <w:rFonts w:ascii="Times New Roman" w:hAnsi="Times New Roman" w:cs="Times New Roman"/>
          <w:sz w:val="28"/>
          <w:szCs w:val="28"/>
        </w:rPr>
        <w:t xml:space="preserve"> </w:t>
      </w:r>
      <w:r w:rsidR="00C966F5">
        <w:rPr>
          <w:rFonts w:ascii="Times New Roman" w:hAnsi="Times New Roman" w:cs="Times New Roman"/>
          <w:sz w:val="28"/>
          <w:szCs w:val="28"/>
        </w:rPr>
        <w:t xml:space="preserve">года, </w:t>
      </w:r>
      <w:r w:rsidR="00BE5DBD" w:rsidRPr="008D1B5E">
        <w:rPr>
          <w:rFonts w:ascii="Times New Roman" w:hAnsi="Times New Roman" w:cs="Times New Roman"/>
          <w:sz w:val="28"/>
          <w:szCs w:val="28"/>
        </w:rPr>
        <w:t>по состоянию на 01.01.2018</w:t>
      </w:r>
      <w:r w:rsidR="003D390E" w:rsidRPr="008D1B5E">
        <w:rPr>
          <w:rFonts w:ascii="Times New Roman" w:hAnsi="Times New Roman" w:cs="Times New Roman"/>
          <w:sz w:val="28"/>
          <w:szCs w:val="28"/>
        </w:rPr>
        <w:t xml:space="preserve"> </w:t>
      </w:r>
      <w:r w:rsidR="00C966F5" w:rsidRPr="008D1B5E">
        <w:rPr>
          <w:rFonts w:ascii="Times New Roman" w:hAnsi="Times New Roman" w:cs="Times New Roman"/>
          <w:sz w:val="28"/>
          <w:szCs w:val="28"/>
        </w:rPr>
        <w:t xml:space="preserve"> муниципальный долг Смоленского района составил</w:t>
      </w:r>
      <w:r w:rsidR="00917042" w:rsidRPr="008D1B5E">
        <w:rPr>
          <w:rFonts w:ascii="Times New Roman" w:hAnsi="Times New Roman" w:cs="Times New Roman"/>
          <w:sz w:val="28"/>
          <w:szCs w:val="28"/>
        </w:rPr>
        <w:t xml:space="preserve"> </w:t>
      </w:r>
      <w:r w:rsidR="008D1B5E" w:rsidRPr="008D1B5E">
        <w:rPr>
          <w:rFonts w:ascii="Times New Roman" w:hAnsi="Times New Roman" w:cs="Times New Roman"/>
          <w:sz w:val="28"/>
          <w:szCs w:val="28"/>
        </w:rPr>
        <w:t>43 640,4</w:t>
      </w:r>
      <w:r w:rsidR="00C966F5" w:rsidRPr="008D1B5E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8D1B5E">
        <w:rPr>
          <w:rFonts w:ascii="Times New Roman" w:hAnsi="Times New Roman" w:cs="Times New Roman"/>
          <w:sz w:val="28"/>
          <w:szCs w:val="28"/>
        </w:rPr>
        <w:t>37,7</w:t>
      </w:r>
      <w:r w:rsidR="00C966F5" w:rsidRPr="008D1B5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966F5" w:rsidRPr="00C966F5">
        <w:rPr>
          <w:rFonts w:ascii="Times New Roman" w:hAnsi="Times New Roman" w:cs="Times New Roman"/>
          <w:sz w:val="28"/>
          <w:szCs w:val="28"/>
        </w:rPr>
        <w:t xml:space="preserve"> от установленного, </w:t>
      </w:r>
      <w:proofErr w:type="gramStart"/>
      <w:r w:rsidR="00C966F5" w:rsidRPr="00C966F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C966F5" w:rsidRPr="00C966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предельного объема муниципального внутреннего долга. Показатели объема муниципального внутреннего долга Смоленского района являются сравнительно низкими.</w:t>
      </w:r>
    </w:p>
    <w:p w:rsidR="00C966F5" w:rsidRDefault="00C966F5" w:rsidP="00C966F5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C966F5">
        <w:rPr>
          <w:rFonts w:ascii="Times New Roman" w:hAnsi="Times New Roman" w:cs="Times New Roman"/>
          <w:sz w:val="28"/>
          <w:szCs w:val="28"/>
        </w:rPr>
        <w:t>В соответствии с Решением Смоленской районной Думы «О бюджете муниципального образования «Смоленский ра</w:t>
      </w:r>
      <w:r w:rsidR="005B37F6">
        <w:rPr>
          <w:rFonts w:ascii="Times New Roman" w:hAnsi="Times New Roman" w:cs="Times New Roman"/>
          <w:sz w:val="28"/>
          <w:szCs w:val="28"/>
        </w:rPr>
        <w:t>йон» Смоленской области  на 2018</w:t>
      </w:r>
      <w:r w:rsidR="00917042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5B37F6">
        <w:rPr>
          <w:rFonts w:ascii="Times New Roman" w:hAnsi="Times New Roman" w:cs="Times New Roman"/>
          <w:sz w:val="28"/>
          <w:szCs w:val="28"/>
        </w:rPr>
        <w:t>риод 2019 и 2020</w:t>
      </w:r>
      <w:r w:rsidRPr="00C966F5">
        <w:rPr>
          <w:rFonts w:ascii="Times New Roman" w:hAnsi="Times New Roman" w:cs="Times New Roman"/>
          <w:sz w:val="28"/>
          <w:szCs w:val="28"/>
        </w:rPr>
        <w:t xml:space="preserve"> годов», верхний предел муниципального внутреннего долга на </w:t>
      </w:r>
      <w:r w:rsidR="00BE5DBD">
        <w:rPr>
          <w:rFonts w:ascii="Times New Roman" w:hAnsi="Times New Roman" w:cs="Times New Roman"/>
          <w:sz w:val="28"/>
          <w:szCs w:val="28"/>
        </w:rPr>
        <w:t>01.01.2018</w:t>
      </w:r>
      <w:r w:rsidRPr="00C966F5">
        <w:rPr>
          <w:rFonts w:ascii="Times New Roman" w:hAnsi="Times New Roman" w:cs="Times New Roman"/>
          <w:sz w:val="28"/>
          <w:szCs w:val="28"/>
        </w:rPr>
        <w:t xml:space="preserve"> года прогнозируется в сумме </w:t>
      </w:r>
      <w:r w:rsidR="008D1B5E" w:rsidRPr="008D1B5E">
        <w:rPr>
          <w:rFonts w:ascii="Times New Roman" w:hAnsi="Times New Roman" w:cs="Times New Roman"/>
          <w:sz w:val="28"/>
          <w:szCs w:val="28"/>
        </w:rPr>
        <w:t>52 264,8</w:t>
      </w:r>
      <w:r w:rsidR="00917042" w:rsidRPr="008D1B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7042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8D1B5E">
        <w:rPr>
          <w:rFonts w:ascii="Times New Roman" w:hAnsi="Times New Roman" w:cs="Times New Roman"/>
          <w:sz w:val="28"/>
          <w:szCs w:val="28"/>
        </w:rPr>
        <w:t xml:space="preserve">45,6 </w:t>
      </w:r>
      <w:r w:rsidRPr="00C966F5">
        <w:rPr>
          <w:rFonts w:ascii="Times New Roman" w:hAnsi="Times New Roman" w:cs="Times New Roman"/>
          <w:sz w:val="28"/>
          <w:szCs w:val="28"/>
        </w:rPr>
        <w:t>процента от установленного, согласно Бюджетного кодекса Российской Федерации, предельного объема муниципального внутреннего долга</w:t>
      </w:r>
      <w:r w:rsidR="009D256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15467" w:rsidRPr="00915467" w:rsidRDefault="00143C09" w:rsidP="00915467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>1.3</w:t>
      </w:r>
      <w:r w:rsidR="0091546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15467"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 w:rsidR="0091546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b w:val="0"/>
          <w:sz w:val="28"/>
          <w:szCs w:val="28"/>
        </w:rPr>
        <w:t>6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15467" w:rsidRPr="00915467">
        <w:rPr>
          <w:rFonts w:ascii="Times New Roman" w:hAnsi="Times New Roman" w:cs="Times New Roman"/>
          <w:sz w:val="28"/>
          <w:szCs w:val="28"/>
        </w:rPr>
        <w:t xml:space="preserve"> Обоснование ресурсного обеспечения </w:t>
      </w:r>
      <w:r w:rsidR="00B86350">
        <w:rPr>
          <w:rFonts w:ascii="Times New Roman" w:hAnsi="Times New Roman" w:cs="Times New Roman"/>
          <w:sz w:val="28"/>
          <w:szCs w:val="28"/>
        </w:rPr>
        <w:t>Под</w:t>
      </w:r>
      <w:r w:rsidR="00915467" w:rsidRPr="00915467">
        <w:rPr>
          <w:rFonts w:ascii="Times New Roman" w:hAnsi="Times New Roman" w:cs="Times New Roman"/>
          <w:sz w:val="28"/>
          <w:szCs w:val="28"/>
        </w:rPr>
        <w:t>программы</w:t>
      </w:r>
      <w:r w:rsidR="00915467">
        <w:rPr>
          <w:rFonts w:ascii="Times New Roman" w:hAnsi="Times New Roman" w:cs="Times New Roman"/>
          <w:sz w:val="28"/>
          <w:szCs w:val="28"/>
        </w:rPr>
        <w:t xml:space="preserve">» </w:t>
      </w:r>
      <w:r w:rsidR="00915467"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редакции:</w:t>
      </w:r>
    </w:p>
    <w:p w:rsidR="00915467" w:rsidRPr="00915467" w:rsidRDefault="006308D5" w:rsidP="00915467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 xml:space="preserve">. Обоснование ресурсного обеспечения 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9D25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5467" w:rsidRPr="00915467" w:rsidRDefault="00915467" w:rsidP="0091546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67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</w:t>
      </w:r>
      <w:r w:rsidR="00882844">
        <w:rPr>
          <w:rFonts w:ascii="Times New Roman" w:hAnsi="Times New Roman" w:cs="Times New Roman"/>
          <w:sz w:val="28"/>
          <w:szCs w:val="28"/>
        </w:rPr>
        <w:t>и муниципальной программы в 2018-2020</w:t>
      </w:r>
      <w:r w:rsidRPr="00915467">
        <w:rPr>
          <w:rFonts w:ascii="Times New Roman" w:hAnsi="Times New Roman" w:cs="Times New Roman"/>
          <w:sz w:val="28"/>
          <w:szCs w:val="28"/>
        </w:rPr>
        <w:t xml:space="preserve"> годах приведены в соответствие с объемами бюджетных ассигнований, предусмотренных Решением Смоленской районной Думы «О проекте бюджета муниципального образования «Смоленский р</w:t>
      </w:r>
      <w:r w:rsidR="00882844">
        <w:rPr>
          <w:rFonts w:ascii="Times New Roman" w:hAnsi="Times New Roman" w:cs="Times New Roman"/>
          <w:sz w:val="28"/>
          <w:szCs w:val="28"/>
        </w:rPr>
        <w:t>айон» Смоленской области на 2018 год и плановый период 2019 и 2020</w:t>
      </w:r>
      <w:r w:rsidRPr="00915467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915467" w:rsidRDefault="00915467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</w:rPr>
        <w:t xml:space="preserve">Прогноз общего объема финансового обеспечения реализации муниципальной программы за весь период ее реализации составляет </w:t>
      </w:r>
      <w:r w:rsidR="00386B10">
        <w:rPr>
          <w:rFonts w:ascii="Times New Roman" w:hAnsi="Times New Roman" w:cs="Times New Roman"/>
          <w:sz w:val="28"/>
          <w:szCs w:val="28"/>
        </w:rPr>
        <w:t>11400,0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sz w:val="28"/>
          <w:szCs w:val="28"/>
        </w:rPr>
        <w:t>тыс. руб.</w:t>
      </w:r>
      <w:r w:rsidRPr="00915467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B86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15467">
        <w:rPr>
          <w:rFonts w:ascii="Times New Roman" w:hAnsi="Times New Roman" w:cs="Times New Roman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sz w:val="28"/>
          <w:szCs w:val="28"/>
        </w:rPr>
        <w:t>«Смоленский район» Смоленской области, том числе по годам:</w:t>
      </w:r>
      <w:r w:rsidRPr="00915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50" w:rsidRDefault="00143C09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5DBD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 w:rsidR="00BE5DBD">
        <w:rPr>
          <w:rFonts w:ascii="Times New Roman" w:hAnsi="Times New Roman" w:cs="Times New Roman"/>
          <w:sz w:val="28"/>
          <w:szCs w:val="28"/>
        </w:rPr>
        <w:t>3 800,0</w:t>
      </w:r>
      <w:r w:rsidR="00B8635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86350" w:rsidRDefault="00BE5DBD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B8635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–3 8</w:t>
      </w:r>
      <w:r w:rsidR="00143C09">
        <w:rPr>
          <w:rFonts w:ascii="Times New Roman" w:hAnsi="Times New Roman" w:cs="Times New Roman"/>
          <w:sz w:val="28"/>
          <w:szCs w:val="28"/>
        </w:rPr>
        <w:t>00,0 тыс. руб.;</w:t>
      </w:r>
    </w:p>
    <w:p w:rsidR="00143C09" w:rsidRDefault="00BE5DBD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–3 8</w:t>
      </w:r>
      <w:r w:rsidR="00143C09">
        <w:rPr>
          <w:rFonts w:ascii="Times New Roman" w:hAnsi="Times New Roman" w:cs="Times New Roman"/>
          <w:sz w:val="28"/>
          <w:szCs w:val="28"/>
        </w:rPr>
        <w:t>00,0 тыс. руб.</w:t>
      </w:r>
      <w:r w:rsidR="009D2568">
        <w:rPr>
          <w:rFonts w:ascii="Times New Roman" w:hAnsi="Times New Roman" w:cs="Times New Roman"/>
          <w:sz w:val="28"/>
          <w:szCs w:val="28"/>
        </w:rPr>
        <w:t>»</w:t>
      </w:r>
    </w:p>
    <w:p w:rsidR="00143C09" w:rsidRPr="00E152A2" w:rsidRDefault="00143C09" w:rsidP="00143C0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6350" w:rsidRDefault="006308D5" w:rsidP="00B8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43C09">
        <w:rPr>
          <w:rFonts w:ascii="Times New Roman" w:hAnsi="Times New Roman" w:cs="Times New Roman"/>
          <w:sz w:val="28"/>
          <w:szCs w:val="28"/>
        </w:rPr>
        <w:t>1.4</w:t>
      </w:r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86350">
        <w:rPr>
          <w:rFonts w:ascii="Times New Roman" w:hAnsi="Times New Roman" w:cs="Times New Roman"/>
          <w:sz w:val="28"/>
          <w:szCs w:val="28"/>
        </w:rPr>
        <w:t>подпрограмме   «Управление муниципальным долгом</w:t>
      </w:r>
      <w:r w:rsidR="009D2568">
        <w:rPr>
          <w:rFonts w:ascii="Times New Roman" w:hAnsi="Times New Roman" w:cs="Times New Roman"/>
          <w:sz w:val="28"/>
          <w:szCs w:val="28"/>
        </w:rPr>
        <w:t>»</w:t>
      </w:r>
      <w:r w:rsidR="00B86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5B37F6" w:rsidP="00B86350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2018 - 2020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751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28B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приложению.</w:t>
      </w:r>
    </w:p>
    <w:p w:rsidR="00B77A4B" w:rsidRDefault="00B77A4B" w:rsidP="00B86350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7A4B" w:rsidRDefault="00B77A4B" w:rsidP="00B86350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7A4B" w:rsidRPr="006308D5" w:rsidRDefault="00B77A4B" w:rsidP="00B86350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298" w:rsidRDefault="00740298" w:rsidP="00A57E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2301A4" w:rsidRDefault="00BE5DBD" w:rsidP="00630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08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E16A5" w:rsidRPr="002301A4">
        <w:rPr>
          <w:rFonts w:ascii="Times New Roman" w:hAnsi="Times New Roman" w:cs="Times New Roman"/>
          <w:sz w:val="28"/>
          <w:szCs w:val="28"/>
        </w:rPr>
        <w:t>.</w:t>
      </w:r>
      <w:r w:rsidR="00A57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6A5" w:rsidRPr="002301A4">
        <w:rPr>
          <w:rFonts w:ascii="Times New Roman" w:hAnsi="Times New Roman" w:cs="Times New Roman"/>
          <w:sz w:val="28"/>
          <w:szCs w:val="28"/>
        </w:rPr>
        <w:t>Конт</w:t>
      </w:r>
      <w:r w:rsidR="00D17377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D17377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84AD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363C14" w:rsidRPr="00363C14" w:rsidRDefault="00363C14" w:rsidP="00D2728B">
      <w:pPr>
        <w:shd w:val="clear" w:color="auto" w:fill="FFFFFF"/>
        <w:spacing w:before="317" w:after="331" w:line="322" w:lineRule="exact"/>
        <w:ind w:right="562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15B3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15B3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E16A5" w:rsidRDefault="007E16A5" w:rsidP="00D15B37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образования «Смоленский район» </w:t>
      </w:r>
    </w:p>
    <w:p w:rsidR="001B12EC" w:rsidRDefault="007E16A5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E5DB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15B37">
        <w:rPr>
          <w:rFonts w:ascii="Times New Roman" w:hAnsi="Times New Roman" w:cs="Times New Roman"/>
          <w:b/>
          <w:sz w:val="28"/>
          <w:szCs w:val="28"/>
        </w:rPr>
        <w:t>О.</w:t>
      </w:r>
      <w:r w:rsidR="00BE5DBD">
        <w:rPr>
          <w:rFonts w:ascii="Times New Roman" w:hAnsi="Times New Roman" w:cs="Times New Roman"/>
          <w:b/>
          <w:sz w:val="28"/>
          <w:szCs w:val="28"/>
        </w:rPr>
        <w:t>Н</w:t>
      </w:r>
      <w:r w:rsidRPr="00D15B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5DBD">
        <w:rPr>
          <w:rFonts w:ascii="Times New Roman" w:hAnsi="Times New Roman" w:cs="Times New Roman"/>
          <w:b/>
          <w:sz w:val="28"/>
          <w:szCs w:val="28"/>
        </w:rPr>
        <w:t>Павлюченкова</w:t>
      </w:r>
      <w:r w:rsidR="00157C3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4A6BE8" w:rsidRDefault="004A6BE8" w:rsidP="004A6BE8">
      <w:pPr>
        <w:shd w:val="clear" w:color="auto" w:fill="FFFFFF"/>
        <w:spacing w:line="269" w:lineRule="exact"/>
        <w:rPr>
          <w:rFonts w:ascii="Times New Roman" w:hAnsi="Times New Roman" w:cs="Times New Roman"/>
          <w:sz w:val="28"/>
          <w:szCs w:val="28"/>
        </w:rPr>
      </w:pPr>
    </w:p>
    <w:sectPr w:rsidR="004A6BE8" w:rsidSect="00157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51" w:right="567" w:bottom="73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98" w:rsidRDefault="001D6C98">
      <w:r>
        <w:separator/>
      </w:r>
    </w:p>
  </w:endnote>
  <w:endnote w:type="continuationSeparator" w:id="0">
    <w:p w:rsidR="001D6C98" w:rsidRDefault="001D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D02B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D02B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D02B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98" w:rsidRDefault="001D6C98">
      <w:r>
        <w:separator/>
      </w:r>
    </w:p>
  </w:footnote>
  <w:footnote w:type="continuationSeparator" w:id="0">
    <w:p w:rsidR="001D6C98" w:rsidRDefault="001D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D02B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08" w:rsidRDefault="00A57E08" w:rsidP="00D02BC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D02B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5"/>
    <w:rsid w:val="00016FCC"/>
    <w:rsid w:val="00035712"/>
    <w:rsid w:val="00036878"/>
    <w:rsid w:val="00042BBF"/>
    <w:rsid w:val="00043992"/>
    <w:rsid w:val="00044932"/>
    <w:rsid w:val="00046378"/>
    <w:rsid w:val="000477B0"/>
    <w:rsid w:val="00050774"/>
    <w:rsid w:val="00050DB7"/>
    <w:rsid w:val="00051DDF"/>
    <w:rsid w:val="0007539B"/>
    <w:rsid w:val="00075EE6"/>
    <w:rsid w:val="00080BBC"/>
    <w:rsid w:val="00093701"/>
    <w:rsid w:val="000A4D38"/>
    <w:rsid w:val="000B5F80"/>
    <w:rsid w:val="000F07E9"/>
    <w:rsid w:val="00101674"/>
    <w:rsid w:val="00103310"/>
    <w:rsid w:val="00117641"/>
    <w:rsid w:val="001216C6"/>
    <w:rsid w:val="001276FE"/>
    <w:rsid w:val="00132D38"/>
    <w:rsid w:val="00133A72"/>
    <w:rsid w:val="001376F3"/>
    <w:rsid w:val="0014015A"/>
    <w:rsid w:val="00143C09"/>
    <w:rsid w:val="0015012F"/>
    <w:rsid w:val="00157C33"/>
    <w:rsid w:val="0016285A"/>
    <w:rsid w:val="00171953"/>
    <w:rsid w:val="00196CE7"/>
    <w:rsid w:val="001B12EC"/>
    <w:rsid w:val="001D669A"/>
    <w:rsid w:val="001D6C98"/>
    <w:rsid w:val="001E5B9C"/>
    <w:rsid w:val="00212C96"/>
    <w:rsid w:val="00216F18"/>
    <w:rsid w:val="002301A4"/>
    <w:rsid w:val="00254C40"/>
    <w:rsid w:val="00255AFA"/>
    <w:rsid w:val="0026142E"/>
    <w:rsid w:val="002B3C6A"/>
    <w:rsid w:val="002B46E9"/>
    <w:rsid w:val="002D0690"/>
    <w:rsid w:val="002D5B28"/>
    <w:rsid w:val="003041CB"/>
    <w:rsid w:val="00315F49"/>
    <w:rsid w:val="00316492"/>
    <w:rsid w:val="0032451C"/>
    <w:rsid w:val="00336BD1"/>
    <w:rsid w:val="00351A70"/>
    <w:rsid w:val="00351C00"/>
    <w:rsid w:val="00363C14"/>
    <w:rsid w:val="00381F0C"/>
    <w:rsid w:val="00386B10"/>
    <w:rsid w:val="0039074C"/>
    <w:rsid w:val="003A6678"/>
    <w:rsid w:val="003B4C1D"/>
    <w:rsid w:val="003D390E"/>
    <w:rsid w:val="004063F7"/>
    <w:rsid w:val="00414856"/>
    <w:rsid w:val="00432D0E"/>
    <w:rsid w:val="00433101"/>
    <w:rsid w:val="004363E1"/>
    <w:rsid w:val="0044048B"/>
    <w:rsid w:val="00473F9C"/>
    <w:rsid w:val="00496C1B"/>
    <w:rsid w:val="004A6BE8"/>
    <w:rsid w:val="004B1D88"/>
    <w:rsid w:val="004F6BB7"/>
    <w:rsid w:val="00515DCB"/>
    <w:rsid w:val="005447D1"/>
    <w:rsid w:val="005646DB"/>
    <w:rsid w:val="005806C0"/>
    <w:rsid w:val="0059495C"/>
    <w:rsid w:val="005A43C1"/>
    <w:rsid w:val="005A6918"/>
    <w:rsid w:val="005A7E79"/>
    <w:rsid w:val="005B37F6"/>
    <w:rsid w:val="005C2D8E"/>
    <w:rsid w:val="005D06D5"/>
    <w:rsid w:val="005D4778"/>
    <w:rsid w:val="006155F5"/>
    <w:rsid w:val="00615908"/>
    <w:rsid w:val="006308D5"/>
    <w:rsid w:val="00632D22"/>
    <w:rsid w:val="006343E0"/>
    <w:rsid w:val="00670FE6"/>
    <w:rsid w:val="006836FE"/>
    <w:rsid w:val="006904D5"/>
    <w:rsid w:val="00697865"/>
    <w:rsid w:val="006C1055"/>
    <w:rsid w:val="006D4384"/>
    <w:rsid w:val="006F27F5"/>
    <w:rsid w:val="00700BD4"/>
    <w:rsid w:val="00701E25"/>
    <w:rsid w:val="0072701E"/>
    <w:rsid w:val="00740298"/>
    <w:rsid w:val="00751852"/>
    <w:rsid w:val="00777FAF"/>
    <w:rsid w:val="007831D5"/>
    <w:rsid w:val="007842A7"/>
    <w:rsid w:val="00791AF6"/>
    <w:rsid w:val="007A5566"/>
    <w:rsid w:val="007B4E97"/>
    <w:rsid w:val="007C2864"/>
    <w:rsid w:val="007C4D97"/>
    <w:rsid w:val="007D50EA"/>
    <w:rsid w:val="007E16A5"/>
    <w:rsid w:val="00827F0E"/>
    <w:rsid w:val="0083713F"/>
    <w:rsid w:val="00845339"/>
    <w:rsid w:val="00847BC4"/>
    <w:rsid w:val="00864E5C"/>
    <w:rsid w:val="00864E9F"/>
    <w:rsid w:val="00871D8E"/>
    <w:rsid w:val="00882844"/>
    <w:rsid w:val="00884ADE"/>
    <w:rsid w:val="008B622A"/>
    <w:rsid w:val="008C3270"/>
    <w:rsid w:val="008C71F0"/>
    <w:rsid w:val="008D1B5E"/>
    <w:rsid w:val="00912ED2"/>
    <w:rsid w:val="00915467"/>
    <w:rsid w:val="00917042"/>
    <w:rsid w:val="00946362"/>
    <w:rsid w:val="009944A7"/>
    <w:rsid w:val="009A581B"/>
    <w:rsid w:val="009B5595"/>
    <w:rsid w:val="009C1AB0"/>
    <w:rsid w:val="009C5DC1"/>
    <w:rsid w:val="009D1990"/>
    <w:rsid w:val="009D2568"/>
    <w:rsid w:val="009D49E4"/>
    <w:rsid w:val="009D4AAE"/>
    <w:rsid w:val="009D4FDA"/>
    <w:rsid w:val="009E0DE5"/>
    <w:rsid w:val="009E7E7C"/>
    <w:rsid w:val="009F7784"/>
    <w:rsid w:val="00A0325F"/>
    <w:rsid w:val="00A056EE"/>
    <w:rsid w:val="00A20762"/>
    <w:rsid w:val="00A278B3"/>
    <w:rsid w:val="00A32360"/>
    <w:rsid w:val="00A46F0A"/>
    <w:rsid w:val="00A50524"/>
    <w:rsid w:val="00A54EB2"/>
    <w:rsid w:val="00A552CF"/>
    <w:rsid w:val="00A57E08"/>
    <w:rsid w:val="00A61E6B"/>
    <w:rsid w:val="00A8147A"/>
    <w:rsid w:val="00AC40A6"/>
    <w:rsid w:val="00AE4AF9"/>
    <w:rsid w:val="00B12DB7"/>
    <w:rsid w:val="00B202C6"/>
    <w:rsid w:val="00B20F66"/>
    <w:rsid w:val="00B21FD7"/>
    <w:rsid w:val="00B32D57"/>
    <w:rsid w:val="00B512A3"/>
    <w:rsid w:val="00B7483D"/>
    <w:rsid w:val="00B77A4B"/>
    <w:rsid w:val="00B80BD1"/>
    <w:rsid w:val="00B86350"/>
    <w:rsid w:val="00B86A7D"/>
    <w:rsid w:val="00B91260"/>
    <w:rsid w:val="00B9456B"/>
    <w:rsid w:val="00BA5109"/>
    <w:rsid w:val="00BB0871"/>
    <w:rsid w:val="00BB7512"/>
    <w:rsid w:val="00BC011C"/>
    <w:rsid w:val="00BE5DBD"/>
    <w:rsid w:val="00BF487C"/>
    <w:rsid w:val="00C15814"/>
    <w:rsid w:val="00C17FDD"/>
    <w:rsid w:val="00C36ABD"/>
    <w:rsid w:val="00C432AE"/>
    <w:rsid w:val="00C60F05"/>
    <w:rsid w:val="00C75C05"/>
    <w:rsid w:val="00C826BC"/>
    <w:rsid w:val="00C83D87"/>
    <w:rsid w:val="00C966F5"/>
    <w:rsid w:val="00CD7A91"/>
    <w:rsid w:val="00CE3B7E"/>
    <w:rsid w:val="00CF7418"/>
    <w:rsid w:val="00D02BC7"/>
    <w:rsid w:val="00D12B7B"/>
    <w:rsid w:val="00D15B37"/>
    <w:rsid w:val="00D17377"/>
    <w:rsid w:val="00D2728B"/>
    <w:rsid w:val="00D45348"/>
    <w:rsid w:val="00D5570C"/>
    <w:rsid w:val="00D623EC"/>
    <w:rsid w:val="00D644E0"/>
    <w:rsid w:val="00D65E8B"/>
    <w:rsid w:val="00D67696"/>
    <w:rsid w:val="00D91777"/>
    <w:rsid w:val="00DA39DE"/>
    <w:rsid w:val="00E02742"/>
    <w:rsid w:val="00E04F89"/>
    <w:rsid w:val="00E152A2"/>
    <w:rsid w:val="00E339C3"/>
    <w:rsid w:val="00E44BFB"/>
    <w:rsid w:val="00E669E8"/>
    <w:rsid w:val="00EA2105"/>
    <w:rsid w:val="00EA7DCA"/>
    <w:rsid w:val="00EB73EA"/>
    <w:rsid w:val="00ED59F8"/>
    <w:rsid w:val="00EE0D53"/>
    <w:rsid w:val="00EF7EF4"/>
    <w:rsid w:val="00F46E5D"/>
    <w:rsid w:val="00F46EE2"/>
    <w:rsid w:val="00F61B1C"/>
    <w:rsid w:val="00F76040"/>
    <w:rsid w:val="00F90B2E"/>
    <w:rsid w:val="00FA318B"/>
    <w:rsid w:val="00FB0B5E"/>
    <w:rsid w:val="00FB6312"/>
    <w:rsid w:val="00FD4C4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4F6F-8F31-40A7-955C-45196E9B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ekv</cp:lastModifiedBy>
  <cp:revision>11</cp:revision>
  <cp:lastPrinted>2015-02-27T11:02:00Z</cp:lastPrinted>
  <dcterms:created xsi:type="dcterms:W3CDTF">2017-12-18T08:58:00Z</dcterms:created>
  <dcterms:modified xsi:type="dcterms:W3CDTF">2017-12-19T08:51:00Z</dcterms:modified>
</cp:coreProperties>
</file>